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C7" w:rsidRDefault="00321FC7" w:rsidP="00321FC7">
      <w:pPr>
        <w:rPr>
          <w:b/>
        </w:rPr>
      </w:pPr>
      <w:r w:rsidRPr="00F12286">
        <w:rPr>
          <w:b/>
          <w:i/>
        </w:rPr>
        <w:t>Privitak 3.</w:t>
      </w:r>
      <w:r w:rsidRPr="00F12286">
        <w:rPr>
          <w:b/>
        </w:rPr>
        <w:t xml:space="preserve"> </w:t>
      </w:r>
      <w:r w:rsidR="00A1630B">
        <w:rPr>
          <w:b/>
        </w:rPr>
        <w:t>O</w:t>
      </w:r>
      <w:r>
        <w:rPr>
          <w:b/>
        </w:rPr>
        <w:t>brazloženja financijskog</w:t>
      </w:r>
      <w:r w:rsidR="00A1630B">
        <w:rPr>
          <w:b/>
        </w:rPr>
        <w:t>a</w:t>
      </w:r>
      <w:r>
        <w:rPr>
          <w:b/>
        </w:rPr>
        <w:t xml:space="preserve"> plana – JAVNI INSTITUTI</w:t>
      </w:r>
    </w:p>
    <w:p w:rsidR="00321FC7" w:rsidRDefault="00075C48" w:rsidP="00321FC7">
      <w:pPr>
        <w:rPr>
          <w:b/>
          <w:sz w:val="32"/>
          <w:szCs w:val="32"/>
        </w:rPr>
      </w:pPr>
      <w:r>
        <w:rPr>
          <w:rFonts w:eastAsia="Times New Roman" w:cs="Arial"/>
          <w:b/>
          <w:sz w:val="32"/>
          <w:szCs w:val="32"/>
        </w:rPr>
        <w:t>Institut za arheologiju</w:t>
      </w:r>
      <w:r w:rsidR="00321FC7" w:rsidRPr="00321FC7">
        <w:rPr>
          <w:rFonts w:eastAsia="Times New Roman" w:cs="Arial"/>
          <w:b/>
          <w:sz w:val="32"/>
          <w:szCs w:val="32"/>
        </w:rPr>
        <w:t xml:space="preserve"> </w:t>
      </w:r>
      <w:r w:rsidR="00321FC7" w:rsidRPr="00321FC7">
        <w:rPr>
          <w:b/>
          <w:sz w:val="32"/>
          <w:szCs w:val="32"/>
        </w:rPr>
        <w:t>za razdoblje 202</w:t>
      </w:r>
      <w:r w:rsidR="00EC7789">
        <w:rPr>
          <w:b/>
          <w:sz w:val="32"/>
          <w:szCs w:val="32"/>
        </w:rPr>
        <w:t>3</w:t>
      </w:r>
      <w:r w:rsidR="00321FC7" w:rsidRPr="00321FC7">
        <w:rPr>
          <w:b/>
          <w:sz w:val="32"/>
          <w:szCs w:val="32"/>
        </w:rPr>
        <w:t>.-202</w:t>
      </w:r>
      <w:r w:rsidR="00EC7789">
        <w:rPr>
          <w:b/>
          <w:sz w:val="32"/>
          <w:szCs w:val="32"/>
        </w:rPr>
        <w:t>5</w:t>
      </w:r>
      <w:r w:rsidR="00321FC7" w:rsidRPr="00321FC7">
        <w:rPr>
          <w:b/>
          <w:sz w:val="32"/>
          <w:szCs w:val="32"/>
        </w:rPr>
        <w:t>.</w:t>
      </w:r>
      <w:r>
        <w:rPr>
          <w:b/>
          <w:sz w:val="32"/>
          <w:szCs w:val="32"/>
        </w:rPr>
        <w:t xml:space="preserve"> </w:t>
      </w:r>
      <w:r w:rsidR="00321FC7" w:rsidRPr="00321FC7">
        <w:rPr>
          <w:b/>
          <w:sz w:val="32"/>
          <w:szCs w:val="32"/>
        </w:rPr>
        <w:t>g</w:t>
      </w:r>
      <w:r>
        <w:rPr>
          <w:b/>
          <w:sz w:val="32"/>
          <w:szCs w:val="32"/>
        </w:rPr>
        <w:t>odine</w:t>
      </w:r>
    </w:p>
    <w:p w:rsidR="00EF05CF" w:rsidRPr="009D005B"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Sažetak djelokruga rada proračunskog korisnika</w:t>
      </w:r>
    </w:p>
    <w:p w:rsidR="0012752E" w:rsidRPr="005935E7" w:rsidRDefault="0012752E" w:rsidP="00A1630B">
      <w:pPr>
        <w:spacing w:line="240" w:lineRule="auto"/>
        <w:jc w:val="both"/>
        <w:rPr>
          <w:rFonts w:cstheme="minorHAnsi"/>
          <w:sz w:val="24"/>
          <w:szCs w:val="24"/>
        </w:rPr>
      </w:pPr>
      <w:r w:rsidRPr="005935E7">
        <w:rPr>
          <w:rFonts w:cstheme="minorHAnsi"/>
          <w:sz w:val="24"/>
          <w:szCs w:val="24"/>
        </w:rPr>
        <w:t xml:space="preserve">Osnovna znanstvena djelatnost Instituta za arheologiju </w:t>
      </w:r>
      <w:r w:rsidR="00B7656F">
        <w:rPr>
          <w:rFonts w:cstheme="minorHAnsi"/>
          <w:sz w:val="24"/>
          <w:szCs w:val="24"/>
        </w:rPr>
        <w:t xml:space="preserve">je </w:t>
      </w:r>
      <w:r w:rsidRPr="005935E7">
        <w:rPr>
          <w:rFonts w:cstheme="minorHAnsi"/>
          <w:sz w:val="24"/>
          <w:szCs w:val="24"/>
        </w:rPr>
        <w:t>u području humanističkih znanosti, u polju arheologije</w:t>
      </w:r>
      <w:r w:rsidRPr="005935E7">
        <w:rPr>
          <w:rFonts w:cstheme="minorHAnsi"/>
          <w:b/>
          <w:bCs/>
          <w:sz w:val="24"/>
          <w:szCs w:val="24"/>
        </w:rPr>
        <w:t xml:space="preserve"> </w:t>
      </w:r>
      <w:r w:rsidRPr="005935E7">
        <w:rPr>
          <w:rFonts w:cstheme="minorHAnsi"/>
          <w:sz w:val="24"/>
          <w:szCs w:val="24"/>
        </w:rPr>
        <w:t>kao i njezina integracija u interdisciplinarna istraživanja sa srodnim znanstvenim disciplinama.</w:t>
      </w:r>
    </w:p>
    <w:p w:rsidR="0012752E" w:rsidRPr="005935E7" w:rsidRDefault="0012752E" w:rsidP="00A1630B">
      <w:pPr>
        <w:pStyle w:val="Tijeloteksta"/>
        <w:spacing w:before="0"/>
        <w:ind w:firstLine="0"/>
        <w:jc w:val="both"/>
        <w:rPr>
          <w:rFonts w:asciiTheme="minorHAnsi" w:hAnsiTheme="minorHAnsi" w:cstheme="minorHAnsi"/>
        </w:rPr>
      </w:pPr>
      <w:r w:rsidRPr="005935E7">
        <w:rPr>
          <w:rFonts w:asciiTheme="minorHAnsi" w:hAnsiTheme="minorHAnsi" w:cstheme="minorHAnsi"/>
        </w:rPr>
        <w:t>Institut, kao javna znanstvena ustanova, provodi temeljna i razvojna znanstvena istraživanja od strateškoga nacionalnog interesa za Republiku Hrvatsku. Program Instituta sastoji se od programa trajne znanstvene djelatnosti, ugovornih znanstvenih projekata te programa nakladničke i promidžbene djelatnosti vezane uz arheologiju.</w:t>
      </w:r>
    </w:p>
    <w:p w:rsidR="0012752E" w:rsidRPr="005935E7" w:rsidRDefault="0012752E" w:rsidP="00A1630B">
      <w:pPr>
        <w:pStyle w:val="Tijeloteksta"/>
        <w:spacing w:before="0"/>
        <w:ind w:firstLine="0"/>
        <w:jc w:val="both"/>
        <w:rPr>
          <w:rFonts w:asciiTheme="minorHAnsi" w:hAnsiTheme="minorHAnsi" w:cstheme="minorHAnsi"/>
        </w:rPr>
      </w:pPr>
    </w:p>
    <w:p w:rsidR="0012752E" w:rsidRPr="005935E7" w:rsidRDefault="0012752E" w:rsidP="00A1630B">
      <w:pPr>
        <w:spacing w:line="240" w:lineRule="auto"/>
        <w:jc w:val="both"/>
        <w:rPr>
          <w:rFonts w:cstheme="minorHAnsi"/>
          <w:sz w:val="24"/>
          <w:szCs w:val="24"/>
          <w:highlight w:val="yellow"/>
        </w:rPr>
      </w:pPr>
      <w:r w:rsidRPr="005935E7">
        <w:rPr>
          <w:rFonts w:cstheme="minorHAnsi"/>
          <w:sz w:val="24"/>
          <w:szCs w:val="24"/>
        </w:rPr>
        <w:t>Djelatnost Instituta obuhvaća:</w:t>
      </w:r>
    </w:p>
    <w:p w:rsidR="0012752E" w:rsidRPr="005935E7" w:rsidRDefault="0012752E" w:rsidP="00A1630B">
      <w:pPr>
        <w:numPr>
          <w:ilvl w:val="0"/>
          <w:numId w:val="27"/>
        </w:numPr>
        <w:spacing w:before="120" w:after="0" w:line="240" w:lineRule="auto"/>
        <w:jc w:val="both"/>
        <w:rPr>
          <w:rFonts w:cstheme="minorHAnsi"/>
          <w:sz w:val="24"/>
        </w:rPr>
      </w:pPr>
      <w:r w:rsidRPr="005935E7">
        <w:rPr>
          <w:rFonts w:cstheme="minorHAnsi"/>
          <w:sz w:val="24"/>
        </w:rPr>
        <w:t>sustavna znanstvena, razvojna i visokostručna istraživanja u području humanističkih znanosti, u polju arheologije i to proučavanje prapovijesnog, antičkog, srednjovjekovnog i novovjekovnog razvoja na prostoru Republike Hrvatske, ali i šire, kao i njegovo interpretiranje unutar europskoga konteksta;</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sustavno objavljivanje rezultata znanstvenih interdisciplinarnih istraživanja;</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sustavno pribavljanje novih arheoloških izvora i informacija pomoću raznolikih oblika arheološkog i interdisciplinarnog istraživanja na području Republike Hrvatske i u međunarodnoj suradnji;</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organiziranje i provedba znanstvenih sustavnih, probnih, zaštitnih arheoloških i interdisciplinarnih istraživanja;</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ekspertnu elaboraciju i vrednovanje izvorne građe u koju je uključena dokumentacijska, interdisciplinarna obrada i izrada istraživačkih elaborata;</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razradu teorije i metodologije arheologije kao znanstvene discipline i njihova primjena u organizaciji i suradnji Instituta i ostalih srodnih znanstvenih ustanova u Republici Hrvatskoj i inozemstvu;</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koordinaciju i metodologijsko usmjeravanje programa arheoloških istraživanja u Republici Hrvatskoj u cilju poštivanja međunarodnih konvencija i dogovora o zaštiti arheološke baštine;</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primjena zakonskih odred</w:t>
      </w:r>
      <w:r w:rsidR="00B7656F">
        <w:rPr>
          <w:rFonts w:cstheme="minorHAnsi"/>
          <w:sz w:val="24"/>
        </w:rPr>
        <w:t>bi</w:t>
      </w:r>
      <w:r w:rsidRPr="005935E7">
        <w:rPr>
          <w:rFonts w:cstheme="minorHAnsi"/>
          <w:sz w:val="24"/>
        </w:rPr>
        <w:t xml:space="preserve"> u svrhu zaštite i očuvanja hrvatske arheološke baštine;</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istraživanje hrvatske arheološke baštine u europskom kontekstu, posebno uz predstavljanje hrvatskog arheološkog nasljeđa;</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oblikovanje, ustroj i razrada baza podataka;</w:t>
      </w:r>
    </w:p>
    <w:p w:rsidR="0012752E" w:rsidRPr="005935E7" w:rsidRDefault="0012752E" w:rsidP="00A1630B">
      <w:pPr>
        <w:numPr>
          <w:ilvl w:val="0"/>
          <w:numId w:val="27"/>
        </w:numPr>
        <w:spacing w:before="60" w:after="0" w:line="240" w:lineRule="auto"/>
        <w:ind w:left="1003" w:hanging="357"/>
        <w:jc w:val="both"/>
        <w:rPr>
          <w:rFonts w:cstheme="minorHAnsi"/>
          <w:sz w:val="24"/>
        </w:rPr>
      </w:pPr>
      <w:r w:rsidRPr="005935E7">
        <w:rPr>
          <w:rFonts w:cstheme="minorHAnsi"/>
          <w:sz w:val="24"/>
        </w:rPr>
        <w:t>vođenje nakladničke djelatnosti na polju arheologije, uz objavu temeljnih izvora i rezultata znanstvenoga rada;</w:t>
      </w:r>
    </w:p>
    <w:p w:rsidR="00B7656F" w:rsidRPr="005935E7" w:rsidRDefault="00B7656F" w:rsidP="00B7656F">
      <w:pPr>
        <w:numPr>
          <w:ilvl w:val="0"/>
          <w:numId w:val="27"/>
        </w:numPr>
        <w:spacing w:before="120" w:after="0" w:line="240" w:lineRule="auto"/>
        <w:jc w:val="both"/>
        <w:rPr>
          <w:rFonts w:cstheme="minorHAnsi"/>
          <w:sz w:val="24"/>
        </w:rPr>
      </w:pPr>
      <w:r w:rsidRPr="005935E7">
        <w:rPr>
          <w:rFonts w:cstheme="minorHAnsi"/>
          <w:sz w:val="24"/>
        </w:rPr>
        <w:t>organizaciju međunarodnih i domaćih znanstvenih i stručnih skupova i radionica na polju arheologije</w:t>
      </w:r>
      <w:r>
        <w:rPr>
          <w:rFonts w:cstheme="minorHAnsi"/>
          <w:sz w:val="24"/>
        </w:rPr>
        <w:t>;</w:t>
      </w:r>
    </w:p>
    <w:p w:rsidR="0012752E" w:rsidRPr="005935E7" w:rsidRDefault="0012752E" w:rsidP="00A1630B">
      <w:pPr>
        <w:numPr>
          <w:ilvl w:val="0"/>
          <w:numId w:val="27"/>
        </w:numPr>
        <w:spacing w:before="120" w:after="0" w:line="240" w:lineRule="auto"/>
        <w:jc w:val="both"/>
        <w:rPr>
          <w:rFonts w:cstheme="minorHAnsi"/>
          <w:sz w:val="24"/>
        </w:rPr>
      </w:pPr>
      <w:r w:rsidRPr="005935E7">
        <w:rPr>
          <w:rFonts w:cstheme="minorHAnsi"/>
          <w:sz w:val="24"/>
        </w:rPr>
        <w:lastRenderedPageBreak/>
        <w:t>suradnju s visokim učilištima u izvođenju studijskih programa u preddiplomskom, diplomskom i poslijediplomskom studiju u skladu sa Zakonom i potpisanim ugovorima s visokim učilištima;</w:t>
      </w:r>
    </w:p>
    <w:p w:rsidR="00B7656F" w:rsidRPr="005935E7" w:rsidRDefault="0012752E" w:rsidP="00B7656F">
      <w:pPr>
        <w:numPr>
          <w:ilvl w:val="0"/>
          <w:numId w:val="27"/>
        </w:numPr>
        <w:spacing w:before="120" w:after="0" w:line="240" w:lineRule="auto"/>
        <w:jc w:val="both"/>
        <w:rPr>
          <w:rFonts w:cstheme="minorHAnsi"/>
          <w:sz w:val="24"/>
        </w:rPr>
      </w:pPr>
      <w:r w:rsidRPr="005935E7">
        <w:rPr>
          <w:rFonts w:cstheme="minorHAnsi"/>
          <w:sz w:val="24"/>
        </w:rPr>
        <w:t>suradnju s ustanovama u kulturi i udrugama</w:t>
      </w:r>
      <w:r w:rsidR="00B7656F" w:rsidRPr="005935E7">
        <w:rPr>
          <w:rFonts w:cstheme="minorHAnsi"/>
          <w:sz w:val="24"/>
        </w:rPr>
        <w:t>;</w:t>
      </w:r>
    </w:p>
    <w:p w:rsidR="0012752E" w:rsidRPr="005935E7" w:rsidRDefault="00B7656F" w:rsidP="00A1630B">
      <w:pPr>
        <w:numPr>
          <w:ilvl w:val="0"/>
          <w:numId w:val="27"/>
        </w:numPr>
        <w:spacing w:before="120" w:after="0" w:line="240" w:lineRule="auto"/>
        <w:jc w:val="both"/>
        <w:rPr>
          <w:rFonts w:cstheme="minorHAnsi"/>
          <w:sz w:val="24"/>
        </w:rPr>
      </w:pPr>
      <w:r w:rsidRPr="005935E7">
        <w:rPr>
          <w:rFonts w:cstheme="minorHAnsi"/>
          <w:sz w:val="24"/>
        </w:rPr>
        <w:t>popularizaciju rezultata znanstvenih i stručnih arheoloških istraživanja</w:t>
      </w:r>
      <w:r>
        <w:rPr>
          <w:rFonts w:cstheme="minorHAnsi"/>
          <w:sz w:val="24"/>
        </w:rPr>
        <w:t>.</w:t>
      </w:r>
    </w:p>
    <w:p w:rsidR="0012752E" w:rsidRDefault="0012752E" w:rsidP="0012752E">
      <w:pPr>
        <w:spacing w:before="120" w:line="240" w:lineRule="auto"/>
        <w:jc w:val="both"/>
        <w:rPr>
          <w:rFonts w:cstheme="minorHAnsi"/>
          <w:sz w:val="24"/>
        </w:rPr>
      </w:pPr>
      <w:r w:rsidRPr="005935E7">
        <w:rPr>
          <w:rFonts w:cstheme="minorHAnsi"/>
          <w:sz w:val="24"/>
        </w:rPr>
        <w:t xml:space="preserve">Financijska sredstva za rad Instituta za arheologiju osiguravaju se iz: sredstava državnoga proračuna Republike Hrvatske; Programskoga financiranja MZO-a, sredstava proračuna jedinica lokalne uprave i samouprave; vlastitih prihoda ostvarenih od istraživačkih projekata; nakladničke djelatnosti; Hrvatske zaklade za znanost; međunarodnih projekata. </w:t>
      </w:r>
    </w:p>
    <w:p w:rsidR="00A1630B" w:rsidRPr="005935E7" w:rsidRDefault="00A1630B" w:rsidP="0012752E">
      <w:pPr>
        <w:spacing w:before="120" w:line="240" w:lineRule="auto"/>
        <w:jc w:val="both"/>
        <w:rPr>
          <w:rFonts w:cstheme="minorHAnsi"/>
          <w:sz w:val="24"/>
        </w:rPr>
      </w:pPr>
    </w:p>
    <w:p w:rsidR="00EF05CF" w:rsidRPr="009D005B" w:rsidRDefault="002C1F90"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A622000 REDOVNA DJELATNOST JAVNIH INSTITUTA</w:t>
      </w:r>
      <w:r w:rsidR="00A94A23">
        <w:rPr>
          <w:b/>
          <w:sz w:val="28"/>
        </w:rPr>
        <w:t xml:space="preserve"> </w:t>
      </w:r>
    </w:p>
    <w:p w:rsidR="00EF05CF" w:rsidRPr="009D005B" w:rsidRDefault="00EF05CF" w:rsidP="00EF05CF">
      <w:pPr>
        <w:spacing w:after="0"/>
        <w:jc w:val="both"/>
        <w:rPr>
          <w:i/>
        </w:rPr>
      </w:pPr>
      <w:r w:rsidRPr="009D005B">
        <w:rPr>
          <w:i/>
        </w:rPr>
        <w:t>Zakonske i druge pravne osnove</w:t>
      </w:r>
    </w:p>
    <w:p w:rsidR="00BF524F" w:rsidRPr="005935E7" w:rsidRDefault="002C1F90"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znanstvenoj djelatnosti i visokom obrazovanju </w:t>
      </w:r>
    </w:p>
    <w:p w:rsidR="002C1F90" w:rsidRPr="005935E7" w:rsidRDefault="002C1F90"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ustanovama </w:t>
      </w:r>
    </w:p>
    <w:p w:rsidR="00B71CDE" w:rsidRPr="005935E7" w:rsidRDefault="00AE1DA9" w:rsidP="00A1630B">
      <w:pPr>
        <w:pStyle w:val="StandardWeb"/>
        <w:spacing w:before="0" w:beforeAutospacing="0" w:after="0" w:afterAutospacing="0"/>
        <w:ind w:left="567"/>
        <w:jc w:val="both"/>
        <w:rPr>
          <w:rFonts w:asciiTheme="minorHAnsi" w:hAnsiTheme="minorHAnsi" w:cstheme="minorHAnsi"/>
          <w:i/>
          <w:sz w:val="32"/>
          <w:szCs w:val="24"/>
          <w:lang w:val="hr-HR"/>
        </w:rPr>
      </w:pPr>
      <w:r w:rsidRPr="005935E7">
        <w:rPr>
          <w:rStyle w:val="Istaknuto"/>
          <w:rFonts w:asciiTheme="minorHAnsi" w:hAnsiTheme="minorHAnsi" w:cstheme="minorHAnsi"/>
          <w:i w:val="0"/>
          <w:sz w:val="24"/>
          <w:lang w:val="hr-HR"/>
        </w:rPr>
        <w:t xml:space="preserve">- </w:t>
      </w:r>
      <w:r w:rsidR="00B71CDE" w:rsidRPr="005935E7">
        <w:rPr>
          <w:rStyle w:val="Istaknuto"/>
          <w:rFonts w:asciiTheme="minorHAnsi" w:hAnsiTheme="minorHAnsi" w:cstheme="minorHAnsi"/>
          <w:i w:val="0"/>
          <w:sz w:val="24"/>
          <w:lang w:val="hr-HR"/>
        </w:rPr>
        <w:t>Zakon o</w:t>
      </w:r>
      <w:r w:rsidR="00B71CDE" w:rsidRPr="005935E7">
        <w:rPr>
          <w:rFonts w:asciiTheme="minorHAnsi" w:hAnsiTheme="minorHAnsi" w:cstheme="minorHAnsi"/>
          <w:i/>
          <w:sz w:val="24"/>
          <w:lang w:val="hr-HR"/>
        </w:rPr>
        <w:t xml:space="preserve"> </w:t>
      </w:r>
      <w:r w:rsidR="00B71CDE" w:rsidRPr="005935E7">
        <w:rPr>
          <w:rFonts w:asciiTheme="minorHAnsi" w:hAnsiTheme="minorHAnsi" w:cstheme="minorHAnsi"/>
          <w:sz w:val="24"/>
          <w:lang w:val="hr-HR"/>
        </w:rPr>
        <w:t>zaštiti i</w:t>
      </w:r>
      <w:r w:rsidR="00B71CDE" w:rsidRPr="005935E7">
        <w:rPr>
          <w:rFonts w:asciiTheme="minorHAnsi" w:hAnsiTheme="minorHAnsi" w:cstheme="minorHAnsi"/>
          <w:i/>
          <w:sz w:val="24"/>
          <w:lang w:val="hr-HR"/>
        </w:rPr>
        <w:t xml:space="preserve"> </w:t>
      </w:r>
      <w:r w:rsidR="00B71CDE" w:rsidRPr="005935E7">
        <w:rPr>
          <w:rStyle w:val="Istaknuto"/>
          <w:rFonts w:asciiTheme="minorHAnsi" w:hAnsiTheme="minorHAnsi" w:cstheme="minorHAnsi"/>
          <w:i w:val="0"/>
          <w:sz w:val="24"/>
          <w:lang w:val="hr-HR"/>
        </w:rPr>
        <w:t>očuvanju</w:t>
      </w:r>
      <w:r w:rsidR="00B71CDE" w:rsidRPr="005935E7">
        <w:rPr>
          <w:rFonts w:asciiTheme="minorHAnsi" w:hAnsiTheme="minorHAnsi" w:cstheme="minorHAnsi"/>
          <w:i/>
          <w:sz w:val="24"/>
          <w:lang w:val="hr-HR"/>
        </w:rPr>
        <w:t xml:space="preserve"> </w:t>
      </w:r>
      <w:r w:rsidR="00B71CDE" w:rsidRPr="005935E7">
        <w:rPr>
          <w:rFonts w:asciiTheme="minorHAnsi" w:hAnsiTheme="minorHAnsi" w:cstheme="minorHAnsi"/>
          <w:sz w:val="24"/>
          <w:lang w:val="hr-HR"/>
        </w:rPr>
        <w:t>kulturnih dobara</w:t>
      </w:r>
    </w:p>
    <w:p w:rsidR="00EF05CF" w:rsidRPr="005935E7" w:rsidRDefault="002C1F90"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Statut </w:t>
      </w:r>
      <w:r w:rsidR="00B71CDE" w:rsidRPr="005935E7">
        <w:rPr>
          <w:rFonts w:asciiTheme="minorHAnsi" w:hAnsiTheme="minorHAnsi" w:cstheme="minorHAnsi"/>
          <w:sz w:val="24"/>
          <w:szCs w:val="24"/>
          <w:lang w:val="hr-HR"/>
        </w:rPr>
        <w:t>Instituta za arheologiju</w:t>
      </w:r>
    </w:p>
    <w:p w:rsidR="00511FEF" w:rsidRPr="005935E7" w:rsidRDefault="00511FEF"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Strateški program znanstvenog istraživanja </w:t>
      </w:r>
      <w:r w:rsidR="00B71CDE" w:rsidRPr="005935E7">
        <w:rPr>
          <w:rFonts w:asciiTheme="minorHAnsi" w:hAnsiTheme="minorHAnsi" w:cstheme="minorHAnsi"/>
          <w:sz w:val="24"/>
          <w:szCs w:val="24"/>
          <w:lang w:val="hr-HR"/>
        </w:rPr>
        <w:t>Instituta za arheologiju</w:t>
      </w:r>
      <w:r w:rsidRPr="005935E7">
        <w:rPr>
          <w:rFonts w:asciiTheme="minorHAnsi" w:hAnsiTheme="minorHAnsi" w:cstheme="minorHAnsi"/>
          <w:sz w:val="24"/>
          <w:szCs w:val="24"/>
          <w:lang w:val="hr-HR"/>
        </w:rPr>
        <w:t xml:space="preserve"> za razdoblje 20</w:t>
      </w:r>
      <w:r w:rsidR="00B71CDE" w:rsidRPr="005935E7">
        <w:rPr>
          <w:rFonts w:asciiTheme="minorHAnsi" w:hAnsiTheme="minorHAnsi" w:cstheme="minorHAnsi"/>
          <w:sz w:val="24"/>
          <w:szCs w:val="24"/>
          <w:lang w:val="hr-HR"/>
        </w:rPr>
        <w:t>20</w:t>
      </w:r>
      <w:r w:rsidRPr="005935E7">
        <w:rPr>
          <w:rFonts w:asciiTheme="minorHAnsi" w:hAnsiTheme="minorHAnsi" w:cstheme="minorHAnsi"/>
          <w:sz w:val="24"/>
          <w:szCs w:val="24"/>
          <w:lang w:val="hr-HR"/>
        </w:rPr>
        <w:t>-202</w:t>
      </w:r>
      <w:r w:rsidR="00B71CDE" w:rsidRPr="005935E7">
        <w:rPr>
          <w:rFonts w:asciiTheme="minorHAnsi" w:hAnsiTheme="minorHAnsi" w:cstheme="minorHAnsi"/>
          <w:sz w:val="24"/>
          <w:szCs w:val="24"/>
          <w:lang w:val="hr-HR"/>
        </w:rPr>
        <w:t>5</w:t>
      </w:r>
    </w:p>
    <w:p w:rsidR="00B71CDE" w:rsidRDefault="00B71CDE"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Pravilnik o arheološkim istraživanjima</w:t>
      </w:r>
    </w:p>
    <w:p w:rsidR="00B7656F" w:rsidRPr="005935E7" w:rsidRDefault="00B7656F" w:rsidP="00B7656F">
      <w:pPr>
        <w:pStyle w:val="StandardWeb"/>
        <w:spacing w:before="0" w:beforeAutospacing="0" w:after="0" w:afterAutospacing="0"/>
        <w:ind w:left="567"/>
        <w:jc w:val="both"/>
        <w:rPr>
          <w:rFonts w:asciiTheme="minorHAnsi" w:hAnsiTheme="minorHAnsi" w:cstheme="minorHAnsi"/>
          <w:sz w:val="24"/>
          <w:szCs w:val="24"/>
          <w:lang w:val="hr-HR"/>
        </w:rPr>
      </w:pPr>
    </w:p>
    <w:tbl>
      <w:tblPr>
        <w:tblStyle w:val="Reetkatablice"/>
        <w:tblW w:w="9606" w:type="dxa"/>
        <w:tblLook w:val="04A0" w:firstRow="1" w:lastRow="0" w:firstColumn="1" w:lastColumn="0" w:noHBand="0" w:noVBand="1"/>
      </w:tblPr>
      <w:tblGrid>
        <w:gridCol w:w="1352"/>
        <w:gridCol w:w="1386"/>
        <w:gridCol w:w="1813"/>
        <w:gridCol w:w="1375"/>
        <w:gridCol w:w="1375"/>
        <w:gridCol w:w="1375"/>
        <w:gridCol w:w="930"/>
      </w:tblGrid>
      <w:tr w:rsidR="00AE1DA9" w:rsidRPr="009D005B" w:rsidTr="00A1630B">
        <w:tc>
          <w:tcPr>
            <w:tcW w:w="1352" w:type="dxa"/>
            <w:shd w:val="clear" w:color="auto" w:fill="D0CECE" w:themeFill="background2" w:themeFillShade="E6"/>
          </w:tcPr>
          <w:p w:rsidR="00EF05CF" w:rsidRPr="009D005B" w:rsidRDefault="00EF05CF" w:rsidP="00A94A23">
            <w:pPr>
              <w:jc w:val="both"/>
            </w:pPr>
          </w:p>
          <w:p w:rsidR="00EF05CF" w:rsidRPr="009D005B" w:rsidRDefault="00EF05CF" w:rsidP="00A94A23">
            <w:pPr>
              <w:jc w:val="both"/>
            </w:pPr>
          </w:p>
        </w:tc>
        <w:tc>
          <w:tcPr>
            <w:tcW w:w="1386" w:type="dxa"/>
            <w:shd w:val="clear" w:color="auto" w:fill="D0CECE" w:themeFill="background2" w:themeFillShade="E6"/>
            <w:vAlign w:val="center"/>
          </w:tcPr>
          <w:p w:rsidR="00EF05CF" w:rsidRPr="009D005B" w:rsidRDefault="00EF05CF" w:rsidP="00EC7789">
            <w:pPr>
              <w:jc w:val="center"/>
            </w:pPr>
            <w:r w:rsidRPr="009D005B">
              <w:t>Izvršenje 20</w:t>
            </w:r>
            <w:r w:rsidR="00376156">
              <w:t>2</w:t>
            </w:r>
            <w:r w:rsidR="00EC7789">
              <w:t>1</w:t>
            </w:r>
            <w:r w:rsidRPr="009D005B">
              <w:t>.</w:t>
            </w:r>
          </w:p>
        </w:tc>
        <w:tc>
          <w:tcPr>
            <w:tcW w:w="1813" w:type="dxa"/>
            <w:shd w:val="clear" w:color="auto" w:fill="D0CECE" w:themeFill="background2" w:themeFillShade="E6"/>
            <w:vAlign w:val="center"/>
          </w:tcPr>
          <w:p w:rsidR="00EF05CF" w:rsidRPr="009D005B" w:rsidRDefault="00EF05CF" w:rsidP="00EC7789">
            <w:pPr>
              <w:jc w:val="center"/>
            </w:pPr>
            <w:r w:rsidRPr="009D005B">
              <w:t>Plan 20</w:t>
            </w:r>
            <w:r w:rsidR="0041630D">
              <w:t>2</w:t>
            </w:r>
            <w:r w:rsidR="00EC7789">
              <w:t>2</w:t>
            </w:r>
            <w:r w:rsidRPr="009D005B">
              <w:t>.</w:t>
            </w:r>
          </w:p>
        </w:tc>
        <w:tc>
          <w:tcPr>
            <w:tcW w:w="1375" w:type="dxa"/>
            <w:shd w:val="clear" w:color="auto" w:fill="D0CECE" w:themeFill="background2" w:themeFillShade="E6"/>
            <w:vAlign w:val="center"/>
          </w:tcPr>
          <w:p w:rsidR="00EF05CF" w:rsidRPr="009D005B" w:rsidRDefault="00EF05CF" w:rsidP="00EC7789">
            <w:pPr>
              <w:jc w:val="center"/>
            </w:pPr>
            <w:r w:rsidRPr="009D005B">
              <w:t>Plan 202</w:t>
            </w:r>
            <w:r w:rsidR="00EC7789">
              <w:t>3</w:t>
            </w:r>
            <w:r w:rsidRPr="009D005B">
              <w:t>.</w:t>
            </w:r>
          </w:p>
        </w:tc>
        <w:tc>
          <w:tcPr>
            <w:tcW w:w="1375" w:type="dxa"/>
            <w:shd w:val="clear" w:color="auto" w:fill="D0CECE" w:themeFill="background2" w:themeFillShade="E6"/>
            <w:vAlign w:val="center"/>
          </w:tcPr>
          <w:p w:rsidR="00EF05CF" w:rsidRPr="009D005B" w:rsidRDefault="00EF05CF" w:rsidP="00EC7789">
            <w:pPr>
              <w:jc w:val="center"/>
            </w:pPr>
            <w:r w:rsidRPr="009D005B">
              <w:t>Plan 202</w:t>
            </w:r>
            <w:r w:rsidR="00EC7789">
              <w:t>4</w:t>
            </w:r>
            <w:r w:rsidRPr="009D005B">
              <w:t>.</w:t>
            </w:r>
          </w:p>
        </w:tc>
        <w:tc>
          <w:tcPr>
            <w:tcW w:w="1375" w:type="dxa"/>
            <w:shd w:val="clear" w:color="auto" w:fill="D0CECE" w:themeFill="background2" w:themeFillShade="E6"/>
            <w:vAlign w:val="center"/>
          </w:tcPr>
          <w:p w:rsidR="00EF05CF" w:rsidRPr="009D005B" w:rsidRDefault="00EF05CF" w:rsidP="00EC7789">
            <w:pPr>
              <w:jc w:val="center"/>
            </w:pPr>
            <w:r w:rsidRPr="009D005B">
              <w:t>Plan 202</w:t>
            </w:r>
            <w:r w:rsidR="00EC7789">
              <w:t>5</w:t>
            </w:r>
            <w:r w:rsidRPr="009D005B">
              <w:t>.</w:t>
            </w:r>
          </w:p>
        </w:tc>
        <w:tc>
          <w:tcPr>
            <w:tcW w:w="930" w:type="dxa"/>
            <w:shd w:val="clear" w:color="auto" w:fill="D0CECE" w:themeFill="background2" w:themeFillShade="E6"/>
            <w:vAlign w:val="center"/>
          </w:tcPr>
          <w:p w:rsidR="00EF05CF" w:rsidRPr="009D005B" w:rsidRDefault="00EF05CF" w:rsidP="00EC7789">
            <w:pPr>
              <w:jc w:val="center"/>
            </w:pPr>
            <w:r w:rsidRPr="009D005B">
              <w:t xml:space="preserve">Indeks </w:t>
            </w:r>
            <w:r w:rsidR="00A04487">
              <w:t>2</w:t>
            </w:r>
            <w:r w:rsidR="00EC7789">
              <w:t>3</w:t>
            </w:r>
            <w:r w:rsidR="00A04487">
              <w:t>/2</w:t>
            </w:r>
            <w:r w:rsidR="00EC7789">
              <w:t>2</w:t>
            </w:r>
            <w:r w:rsidRPr="009D005B">
              <w:t>.</w:t>
            </w:r>
          </w:p>
        </w:tc>
      </w:tr>
      <w:tr w:rsidR="00AE1DA9" w:rsidRPr="009D005B" w:rsidTr="00A1630B">
        <w:tc>
          <w:tcPr>
            <w:tcW w:w="1352" w:type="dxa"/>
          </w:tcPr>
          <w:p w:rsidR="007C0F8D" w:rsidRPr="009D005B" w:rsidRDefault="004877B1" w:rsidP="00A1630B">
            <w:r w:rsidRPr="004877B1">
              <w:t>A622000 REDOVNA DJELATNOST JAVNIH INSTITUTA</w:t>
            </w:r>
          </w:p>
        </w:tc>
        <w:tc>
          <w:tcPr>
            <w:tcW w:w="1386" w:type="dxa"/>
          </w:tcPr>
          <w:p w:rsidR="007F72B8" w:rsidRPr="005D3AE2" w:rsidRDefault="00D84067" w:rsidP="007F72B8">
            <w:pPr>
              <w:jc w:val="center"/>
              <w:rPr>
                <w:rFonts w:ascii="Calibri" w:hAnsi="Calibri" w:cs="Calibri"/>
                <w:bCs/>
                <w:sz w:val="18"/>
                <w:szCs w:val="18"/>
              </w:rPr>
            </w:pPr>
            <w:r w:rsidRPr="005D3AE2">
              <w:rPr>
                <w:rFonts w:ascii="Calibri" w:hAnsi="Calibri" w:cs="Calibri"/>
                <w:bCs/>
                <w:sz w:val="18"/>
                <w:szCs w:val="18"/>
              </w:rPr>
              <w:t xml:space="preserve">745.399 </w:t>
            </w:r>
            <w:proofErr w:type="spellStart"/>
            <w:r w:rsidRPr="005D3AE2">
              <w:rPr>
                <w:rFonts w:ascii="Calibri" w:hAnsi="Calibri" w:cs="Calibri"/>
                <w:bCs/>
                <w:sz w:val="18"/>
                <w:szCs w:val="18"/>
              </w:rPr>
              <w:t>eur</w:t>
            </w:r>
            <w:proofErr w:type="spellEnd"/>
          </w:p>
          <w:p w:rsidR="007C0F8D" w:rsidRPr="005D3AE2" w:rsidRDefault="007C0F8D" w:rsidP="00A1630B">
            <w:pPr>
              <w:jc w:val="center"/>
            </w:pPr>
          </w:p>
        </w:tc>
        <w:tc>
          <w:tcPr>
            <w:tcW w:w="1813" w:type="dxa"/>
            <w:shd w:val="clear" w:color="auto" w:fill="FFFFFF" w:themeFill="background1"/>
          </w:tcPr>
          <w:p w:rsidR="007C0F8D" w:rsidRPr="005D3AE2" w:rsidRDefault="00D84067" w:rsidP="00115783">
            <w:pPr>
              <w:jc w:val="center"/>
              <w:rPr>
                <w:sz w:val="20"/>
                <w:szCs w:val="20"/>
              </w:rPr>
            </w:pPr>
            <w:r w:rsidRPr="005D3AE2">
              <w:rPr>
                <w:sz w:val="20"/>
                <w:szCs w:val="20"/>
              </w:rPr>
              <w:t>80</w:t>
            </w:r>
            <w:r w:rsidR="00115783">
              <w:rPr>
                <w:sz w:val="20"/>
                <w:szCs w:val="20"/>
              </w:rPr>
              <w:t>8</w:t>
            </w:r>
            <w:r w:rsidRPr="005D3AE2">
              <w:rPr>
                <w:sz w:val="20"/>
                <w:szCs w:val="20"/>
              </w:rPr>
              <w:t>.</w:t>
            </w:r>
            <w:r w:rsidR="00115783">
              <w:rPr>
                <w:sz w:val="20"/>
                <w:szCs w:val="20"/>
              </w:rPr>
              <w:t>731</w:t>
            </w:r>
            <w:r w:rsidR="005A5ECF" w:rsidRPr="005D3AE2">
              <w:rPr>
                <w:sz w:val="20"/>
                <w:szCs w:val="20"/>
              </w:rPr>
              <w:t xml:space="preserve"> </w:t>
            </w:r>
            <w:proofErr w:type="spellStart"/>
            <w:r w:rsidRPr="005D3AE2">
              <w:rPr>
                <w:sz w:val="20"/>
                <w:szCs w:val="20"/>
              </w:rPr>
              <w:t>eur</w:t>
            </w:r>
            <w:proofErr w:type="spellEnd"/>
          </w:p>
        </w:tc>
        <w:tc>
          <w:tcPr>
            <w:tcW w:w="1375" w:type="dxa"/>
          </w:tcPr>
          <w:p w:rsidR="007C0F8D" w:rsidRPr="00A04487" w:rsidRDefault="00801385" w:rsidP="00A1630B">
            <w:pPr>
              <w:jc w:val="center"/>
              <w:rPr>
                <w:sz w:val="20"/>
                <w:szCs w:val="20"/>
              </w:rPr>
            </w:pPr>
            <w:r>
              <w:rPr>
                <w:sz w:val="20"/>
                <w:szCs w:val="20"/>
              </w:rPr>
              <w:t>924.848</w:t>
            </w:r>
            <w:r w:rsidR="00D84067">
              <w:rPr>
                <w:sz w:val="20"/>
                <w:szCs w:val="20"/>
              </w:rPr>
              <w:t xml:space="preserve"> </w:t>
            </w:r>
            <w:proofErr w:type="spellStart"/>
            <w:r w:rsidR="00D84067">
              <w:rPr>
                <w:sz w:val="20"/>
                <w:szCs w:val="20"/>
              </w:rPr>
              <w:t>eur</w:t>
            </w:r>
            <w:proofErr w:type="spellEnd"/>
          </w:p>
        </w:tc>
        <w:tc>
          <w:tcPr>
            <w:tcW w:w="1375" w:type="dxa"/>
          </w:tcPr>
          <w:p w:rsidR="007C0F8D" w:rsidRPr="00A04487" w:rsidRDefault="00801385" w:rsidP="00A1630B">
            <w:pPr>
              <w:jc w:val="center"/>
              <w:rPr>
                <w:sz w:val="20"/>
                <w:szCs w:val="20"/>
              </w:rPr>
            </w:pPr>
            <w:r>
              <w:rPr>
                <w:sz w:val="20"/>
                <w:szCs w:val="20"/>
              </w:rPr>
              <w:t>924.848</w:t>
            </w:r>
            <w:r w:rsidR="00D84067">
              <w:rPr>
                <w:sz w:val="20"/>
                <w:szCs w:val="20"/>
              </w:rPr>
              <w:t xml:space="preserve"> </w:t>
            </w:r>
            <w:proofErr w:type="spellStart"/>
            <w:r w:rsidR="00D84067">
              <w:rPr>
                <w:sz w:val="20"/>
                <w:szCs w:val="20"/>
              </w:rPr>
              <w:t>eur</w:t>
            </w:r>
            <w:proofErr w:type="spellEnd"/>
          </w:p>
        </w:tc>
        <w:tc>
          <w:tcPr>
            <w:tcW w:w="1375" w:type="dxa"/>
          </w:tcPr>
          <w:p w:rsidR="007C0F8D" w:rsidRPr="00A04487" w:rsidRDefault="00801385" w:rsidP="00A1630B">
            <w:pPr>
              <w:jc w:val="center"/>
              <w:rPr>
                <w:sz w:val="20"/>
                <w:szCs w:val="20"/>
              </w:rPr>
            </w:pPr>
            <w:r>
              <w:rPr>
                <w:sz w:val="20"/>
                <w:szCs w:val="20"/>
              </w:rPr>
              <w:t>924.848</w:t>
            </w:r>
            <w:r w:rsidR="00D84067">
              <w:rPr>
                <w:sz w:val="20"/>
                <w:szCs w:val="20"/>
              </w:rPr>
              <w:t xml:space="preserve"> </w:t>
            </w:r>
            <w:proofErr w:type="spellStart"/>
            <w:r w:rsidR="00D84067">
              <w:rPr>
                <w:sz w:val="20"/>
                <w:szCs w:val="20"/>
              </w:rPr>
              <w:t>eur</w:t>
            </w:r>
            <w:proofErr w:type="spellEnd"/>
          </w:p>
        </w:tc>
        <w:tc>
          <w:tcPr>
            <w:tcW w:w="930" w:type="dxa"/>
          </w:tcPr>
          <w:p w:rsidR="007C0F8D" w:rsidRPr="00A04487" w:rsidRDefault="00801385" w:rsidP="00EC7789">
            <w:pPr>
              <w:jc w:val="center"/>
              <w:rPr>
                <w:sz w:val="20"/>
                <w:szCs w:val="20"/>
              </w:rPr>
            </w:pPr>
            <w:r>
              <w:rPr>
                <w:sz w:val="20"/>
                <w:szCs w:val="20"/>
              </w:rPr>
              <w:t>114</w:t>
            </w:r>
          </w:p>
        </w:tc>
      </w:tr>
    </w:tbl>
    <w:p w:rsidR="00EF05CF" w:rsidRPr="009D005B" w:rsidRDefault="00EF05CF" w:rsidP="00EF05CF">
      <w:pPr>
        <w:spacing w:before="240"/>
        <w:jc w:val="both"/>
        <w:rPr>
          <w:i/>
        </w:rPr>
      </w:pPr>
      <w:r w:rsidRPr="009D005B">
        <w:rPr>
          <w:i/>
        </w:rPr>
        <w:t>Ova aktivnost sastoji se od sljedećih elemenata:</w:t>
      </w:r>
    </w:p>
    <w:p w:rsidR="00EF05CF" w:rsidRPr="009D005B" w:rsidRDefault="00166458" w:rsidP="00A1630B">
      <w:pPr>
        <w:spacing w:line="240" w:lineRule="auto"/>
        <w:jc w:val="both"/>
        <w:rPr>
          <w:i/>
        </w:rPr>
      </w:pPr>
      <w:r w:rsidRPr="00FE3AA1">
        <w:rPr>
          <w:i/>
        </w:rPr>
        <w:t>Rashodi za zaposlene</w:t>
      </w:r>
      <w:r w:rsidR="00FE3AA1" w:rsidRPr="00FE3AA1">
        <w:rPr>
          <w:i/>
        </w:rPr>
        <w:t>, materijalni rashodi (prijevoz istraživača...)</w:t>
      </w:r>
      <w:r w:rsidR="00A1630B">
        <w:rPr>
          <w:i/>
        </w:rPr>
        <w:t>.</w:t>
      </w:r>
      <w:r w:rsidR="00EF05CF" w:rsidRPr="009D005B">
        <w:rPr>
          <w:i/>
        </w:rPr>
        <w:t xml:space="preserve">  </w:t>
      </w:r>
    </w:p>
    <w:p w:rsidR="00EF05CF" w:rsidRDefault="00EF05CF" w:rsidP="00A1630B">
      <w:pPr>
        <w:spacing w:after="0" w:line="240" w:lineRule="auto"/>
        <w:jc w:val="both"/>
        <w:rPr>
          <w:i/>
        </w:rPr>
      </w:pPr>
      <w:r w:rsidRPr="009D005B">
        <w:rPr>
          <w:i/>
        </w:rPr>
        <w:t>Izračun financijskog plana:</w:t>
      </w:r>
    </w:p>
    <w:p w:rsidR="00FE3AA1" w:rsidRDefault="00FE3AA1" w:rsidP="00A1630B">
      <w:pPr>
        <w:spacing w:after="0" w:line="240" w:lineRule="auto"/>
        <w:jc w:val="both"/>
        <w:rPr>
          <w:i/>
        </w:rPr>
      </w:pPr>
    </w:p>
    <w:p w:rsidR="00253DD8" w:rsidRPr="009D005B" w:rsidRDefault="006C1B88" w:rsidP="00A1630B">
      <w:pPr>
        <w:pStyle w:val="Odlomakpopisa"/>
        <w:numPr>
          <w:ilvl w:val="0"/>
          <w:numId w:val="24"/>
        </w:numPr>
        <w:spacing w:after="0" w:line="240" w:lineRule="auto"/>
        <w:jc w:val="both"/>
        <w:rPr>
          <w:i/>
        </w:rPr>
      </w:pPr>
      <w:r>
        <w:rPr>
          <w:i/>
        </w:rPr>
        <w:t>Rashodi za zaposlene</w:t>
      </w:r>
    </w:p>
    <w:p w:rsidR="00253DD8" w:rsidRPr="005D3AE2" w:rsidRDefault="00253DD8" w:rsidP="00A1630B">
      <w:pPr>
        <w:spacing w:line="240" w:lineRule="auto"/>
        <w:ind w:left="640"/>
        <w:jc w:val="both"/>
        <w:rPr>
          <w:i/>
        </w:rPr>
      </w:pPr>
      <w:r>
        <w:rPr>
          <w:i/>
        </w:rPr>
        <w:t>Planirani b</w:t>
      </w:r>
      <w:r w:rsidRPr="009D005B">
        <w:rPr>
          <w:i/>
        </w:rPr>
        <w:t>roj zaposlenih</w:t>
      </w:r>
      <w:r>
        <w:rPr>
          <w:i/>
        </w:rPr>
        <w:t xml:space="preserve"> u 202</w:t>
      </w:r>
      <w:r w:rsidR="00EC7789">
        <w:rPr>
          <w:i/>
        </w:rPr>
        <w:t>3</w:t>
      </w:r>
      <w:r>
        <w:rPr>
          <w:i/>
        </w:rPr>
        <w:t>.g.</w:t>
      </w:r>
      <w:r w:rsidRPr="009D005B">
        <w:rPr>
          <w:i/>
        </w:rPr>
        <w:t xml:space="preserve"> x iznos prosječne mjesečne plaće x 12 mjeseci</w:t>
      </w:r>
      <w:r>
        <w:rPr>
          <w:i/>
        </w:rPr>
        <w:t xml:space="preserve"> + ostali rashodi za  zaposlene=</w:t>
      </w:r>
      <w:r w:rsidR="00801385">
        <w:rPr>
          <w:i/>
        </w:rPr>
        <w:t>906.879</w:t>
      </w:r>
      <w:r w:rsidR="005A5ECF" w:rsidRPr="005D3AE2">
        <w:rPr>
          <w:i/>
        </w:rPr>
        <w:t xml:space="preserve"> eura</w:t>
      </w:r>
    </w:p>
    <w:p w:rsidR="00253DD8" w:rsidRPr="005D3AE2" w:rsidRDefault="00253DD8" w:rsidP="00A1630B">
      <w:pPr>
        <w:spacing w:line="240" w:lineRule="auto"/>
        <w:ind w:left="640"/>
        <w:jc w:val="both"/>
        <w:rPr>
          <w:i/>
        </w:rPr>
      </w:pPr>
      <w:r w:rsidRPr="005D3AE2">
        <w:rPr>
          <w:i/>
        </w:rPr>
        <w:t>Broj zaposlenih u 202</w:t>
      </w:r>
      <w:r w:rsidR="00EC7789" w:rsidRPr="005D3AE2">
        <w:rPr>
          <w:i/>
        </w:rPr>
        <w:t>4</w:t>
      </w:r>
      <w:r w:rsidRPr="005D3AE2">
        <w:rPr>
          <w:i/>
        </w:rPr>
        <w:t>.g. x iznos prosječne mjesečne plaće x 12 mjeseci + ostali rashodi za  zaposlene=</w:t>
      </w:r>
      <w:r w:rsidR="00801385">
        <w:rPr>
          <w:i/>
        </w:rPr>
        <w:t>906.879</w:t>
      </w:r>
      <w:r w:rsidR="005A5ECF" w:rsidRPr="005D3AE2">
        <w:rPr>
          <w:i/>
        </w:rPr>
        <w:t xml:space="preserve"> eura</w:t>
      </w:r>
    </w:p>
    <w:p w:rsidR="00253DD8" w:rsidRPr="005D3AE2" w:rsidRDefault="00253DD8" w:rsidP="00A1630B">
      <w:pPr>
        <w:spacing w:line="240" w:lineRule="auto"/>
        <w:ind w:left="640"/>
        <w:jc w:val="both"/>
        <w:rPr>
          <w:i/>
        </w:rPr>
      </w:pPr>
      <w:r w:rsidRPr="005D3AE2">
        <w:rPr>
          <w:i/>
        </w:rPr>
        <w:t>Broj zaposlenih u 202</w:t>
      </w:r>
      <w:r w:rsidR="00EC7789" w:rsidRPr="005D3AE2">
        <w:rPr>
          <w:i/>
        </w:rPr>
        <w:t>5</w:t>
      </w:r>
      <w:r w:rsidRPr="005D3AE2">
        <w:rPr>
          <w:i/>
        </w:rPr>
        <w:t>.g. x iznos prosječne mjesečne plaće x 12 mjeseci + ostali rashodi za  zaposlene=</w:t>
      </w:r>
      <w:r w:rsidR="00801385">
        <w:rPr>
          <w:i/>
        </w:rPr>
        <w:t>906.879</w:t>
      </w:r>
      <w:r w:rsidR="005A5ECF" w:rsidRPr="005D3AE2">
        <w:rPr>
          <w:i/>
        </w:rPr>
        <w:t xml:space="preserve"> eura</w:t>
      </w:r>
    </w:p>
    <w:p w:rsidR="00253DD8" w:rsidRPr="005D3AE2" w:rsidRDefault="006C1B88" w:rsidP="00A1630B">
      <w:pPr>
        <w:pStyle w:val="Odlomakpopisa"/>
        <w:numPr>
          <w:ilvl w:val="0"/>
          <w:numId w:val="24"/>
        </w:numPr>
        <w:spacing w:after="0" w:line="240" w:lineRule="auto"/>
        <w:jc w:val="both"/>
        <w:rPr>
          <w:i/>
        </w:rPr>
      </w:pPr>
      <w:r w:rsidRPr="005D3AE2">
        <w:rPr>
          <w:i/>
        </w:rPr>
        <w:t>Materijalni rashodi</w:t>
      </w:r>
    </w:p>
    <w:p w:rsidR="00856A66" w:rsidRDefault="00253DD8" w:rsidP="00856A66">
      <w:pPr>
        <w:pStyle w:val="Odlomakpopisa"/>
        <w:spacing w:line="240" w:lineRule="auto"/>
        <w:jc w:val="both"/>
        <w:rPr>
          <w:i/>
        </w:rPr>
      </w:pPr>
      <w:r w:rsidRPr="005D3AE2">
        <w:rPr>
          <w:i/>
        </w:rPr>
        <w:t xml:space="preserve">Materijalna prava zaposlenih planiraju se u visini </w:t>
      </w:r>
      <w:r w:rsidR="00D84067" w:rsidRPr="005D3AE2">
        <w:rPr>
          <w:i/>
        </w:rPr>
        <w:t>13.936</w:t>
      </w:r>
      <w:r w:rsidRPr="005D3AE2">
        <w:rPr>
          <w:i/>
        </w:rPr>
        <w:t xml:space="preserve"> </w:t>
      </w:r>
      <w:r w:rsidR="005A5ECF" w:rsidRPr="005D3AE2">
        <w:rPr>
          <w:i/>
        </w:rPr>
        <w:t>eura</w:t>
      </w:r>
      <w:r w:rsidRPr="005D3AE2">
        <w:rPr>
          <w:i/>
        </w:rPr>
        <w:t xml:space="preserve"> u 202</w:t>
      </w:r>
      <w:r w:rsidR="00EC7789" w:rsidRPr="005D3AE2">
        <w:rPr>
          <w:i/>
        </w:rPr>
        <w:t>3</w:t>
      </w:r>
      <w:r w:rsidRPr="005D3AE2">
        <w:rPr>
          <w:i/>
        </w:rPr>
        <w:t xml:space="preserve">.g. </w:t>
      </w:r>
      <w:r w:rsidR="00D84067" w:rsidRPr="005D3AE2">
        <w:rPr>
          <w:i/>
        </w:rPr>
        <w:t>a</w:t>
      </w:r>
      <w:r w:rsidRPr="005D3AE2">
        <w:rPr>
          <w:i/>
        </w:rPr>
        <w:t xml:space="preserve"> procjena</w:t>
      </w:r>
      <w:r w:rsidR="00856A66" w:rsidRPr="005D3AE2">
        <w:rPr>
          <w:i/>
        </w:rPr>
        <w:t xml:space="preserve"> u 2024.g. i 2025.g. iznosi </w:t>
      </w:r>
      <w:r w:rsidR="00801385">
        <w:rPr>
          <w:i/>
        </w:rPr>
        <w:t>16.500</w:t>
      </w:r>
      <w:r w:rsidR="00856A66" w:rsidRPr="005D3AE2">
        <w:rPr>
          <w:i/>
        </w:rPr>
        <w:t xml:space="preserve"> </w:t>
      </w:r>
      <w:r w:rsidR="00856A66">
        <w:rPr>
          <w:i/>
        </w:rPr>
        <w:t>eura</w:t>
      </w:r>
    </w:p>
    <w:p w:rsidR="00AE608B" w:rsidRPr="009D005B" w:rsidRDefault="00B7656F" w:rsidP="00B7656F">
      <w:pPr>
        <w:rPr>
          <w:b/>
          <w:sz w:val="28"/>
        </w:rPr>
      </w:pPr>
      <w:r>
        <w:rPr>
          <w:i/>
        </w:rPr>
        <w:br w:type="page"/>
      </w:r>
      <w:r w:rsidR="00AE608B">
        <w:rPr>
          <w:b/>
          <w:sz w:val="28"/>
        </w:rPr>
        <w:lastRenderedPageBreak/>
        <w:t>A622137 PROGRAMSKO FINANCIRANJE JAVN</w:t>
      </w:r>
      <w:r w:rsidR="00CD1B2B">
        <w:rPr>
          <w:b/>
          <w:sz w:val="28"/>
        </w:rPr>
        <w:t>I</w:t>
      </w:r>
      <w:r w:rsidR="00AE608B">
        <w:rPr>
          <w:b/>
          <w:sz w:val="28"/>
        </w:rPr>
        <w:t>H ZNANSTVENIH INSTITUTA</w:t>
      </w:r>
    </w:p>
    <w:p w:rsidR="00AE608B" w:rsidRPr="009D005B" w:rsidRDefault="00AE608B" w:rsidP="00AE608B">
      <w:pPr>
        <w:spacing w:after="0"/>
        <w:jc w:val="both"/>
        <w:rPr>
          <w:i/>
        </w:rPr>
      </w:pPr>
      <w:r w:rsidRPr="009D005B">
        <w:rPr>
          <w:i/>
        </w:rPr>
        <w:t>Zakonske i druge pravne osnove</w:t>
      </w:r>
    </w:p>
    <w:p w:rsidR="00BA790F" w:rsidRPr="005935E7" w:rsidRDefault="00BA790F"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znanstvenoj djelatnosti i visokom obrazovanju </w:t>
      </w:r>
    </w:p>
    <w:p w:rsidR="00BA790F" w:rsidRPr="005935E7" w:rsidRDefault="00BA790F"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ustanovama </w:t>
      </w:r>
    </w:p>
    <w:p w:rsidR="00BA790F" w:rsidRPr="005935E7" w:rsidRDefault="00BA790F" w:rsidP="00A1630B">
      <w:pPr>
        <w:pStyle w:val="StandardWeb"/>
        <w:spacing w:before="0" w:beforeAutospacing="0" w:after="0" w:afterAutospacing="0"/>
        <w:ind w:left="567"/>
        <w:jc w:val="both"/>
        <w:rPr>
          <w:rFonts w:asciiTheme="minorHAnsi" w:hAnsiTheme="minorHAnsi" w:cstheme="minorHAnsi"/>
          <w:i/>
          <w:sz w:val="32"/>
          <w:szCs w:val="24"/>
          <w:lang w:val="hr-HR"/>
        </w:rPr>
      </w:pPr>
      <w:r w:rsidRPr="005935E7">
        <w:rPr>
          <w:rStyle w:val="Istaknuto"/>
          <w:rFonts w:asciiTheme="minorHAnsi" w:hAnsiTheme="minorHAnsi" w:cstheme="minorHAnsi"/>
          <w:i w:val="0"/>
          <w:sz w:val="24"/>
          <w:lang w:val="hr-HR"/>
        </w:rPr>
        <w:t>- Zakon o</w:t>
      </w:r>
      <w:r w:rsidRPr="005935E7">
        <w:rPr>
          <w:rFonts w:asciiTheme="minorHAnsi" w:hAnsiTheme="minorHAnsi" w:cstheme="minorHAnsi"/>
          <w:i/>
          <w:sz w:val="24"/>
          <w:lang w:val="hr-HR"/>
        </w:rPr>
        <w:t xml:space="preserve"> </w:t>
      </w:r>
      <w:r w:rsidRPr="005935E7">
        <w:rPr>
          <w:rFonts w:asciiTheme="minorHAnsi" w:hAnsiTheme="minorHAnsi" w:cstheme="minorHAnsi"/>
          <w:sz w:val="24"/>
          <w:lang w:val="hr-HR"/>
        </w:rPr>
        <w:t>zaštiti i</w:t>
      </w:r>
      <w:r w:rsidRPr="005935E7">
        <w:rPr>
          <w:rFonts w:asciiTheme="minorHAnsi" w:hAnsiTheme="minorHAnsi" w:cstheme="minorHAnsi"/>
          <w:i/>
          <w:sz w:val="24"/>
          <w:lang w:val="hr-HR"/>
        </w:rPr>
        <w:t xml:space="preserve"> </w:t>
      </w:r>
      <w:r w:rsidRPr="005935E7">
        <w:rPr>
          <w:rStyle w:val="Istaknuto"/>
          <w:rFonts w:asciiTheme="minorHAnsi" w:hAnsiTheme="minorHAnsi" w:cstheme="minorHAnsi"/>
          <w:i w:val="0"/>
          <w:sz w:val="24"/>
          <w:lang w:val="hr-HR"/>
        </w:rPr>
        <w:t>očuvanju</w:t>
      </w:r>
      <w:r w:rsidRPr="005935E7">
        <w:rPr>
          <w:rFonts w:asciiTheme="minorHAnsi" w:hAnsiTheme="minorHAnsi" w:cstheme="minorHAnsi"/>
          <w:i/>
          <w:sz w:val="24"/>
          <w:lang w:val="hr-HR"/>
        </w:rPr>
        <w:t xml:space="preserve"> </w:t>
      </w:r>
      <w:r w:rsidRPr="005935E7">
        <w:rPr>
          <w:rFonts w:asciiTheme="minorHAnsi" w:hAnsiTheme="minorHAnsi" w:cstheme="minorHAnsi"/>
          <w:sz w:val="24"/>
          <w:lang w:val="hr-HR"/>
        </w:rPr>
        <w:t>kulturnih dobara</w:t>
      </w:r>
    </w:p>
    <w:p w:rsidR="00BA790F" w:rsidRPr="005935E7" w:rsidRDefault="00BA790F"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Statut Instituta za arheologiju</w:t>
      </w:r>
    </w:p>
    <w:p w:rsidR="00BA790F" w:rsidRPr="005935E7" w:rsidRDefault="00BA790F"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Ugovor o programskom financiranju javnih znanstvenih instituta</w:t>
      </w:r>
    </w:p>
    <w:p w:rsidR="00BA790F" w:rsidRPr="005935E7" w:rsidRDefault="00BA790F" w:rsidP="00A1630B">
      <w:pPr>
        <w:pStyle w:val="StandardWeb"/>
        <w:numPr>
          <w:ilvl w:val="0"/>
          <w:numId w:val="23"/>
        </w:numPr>
        <w:spacing w:before="0" w:beforeAutospacing="0" w:after="0" w:afterAutospacing="0"/>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Strateški program znanstvenog istraživanja Instituta za arheologiju za razdoblje 2020-2025</w:t>
      </w:r>
    </w:p>
    <w:p w:rsidR="00AE608B" w:rsidRPr="00154FA3" w:rsidRDefault="00BA790F" w:rsidP="003F7662">
      <w:pPr>
        <w:pStyle w:val="StandardWeb"/>
        <w:numPr>
          <w:ilvl w:val="0"/>
          <w:numId w:val="23"/>
        </w:numPr>
        <w:spacing w:before="0" w:beforeAutospacing="0" w:after="0" w:afterAutospacing="0"/>
        <w:ind w:left="567" w:firstLine="0"/>
        <w:jc w:val="both"/>
        <w:rPr>
          <w:i/>
        </w:rPr>
      </w:pPr>
      <w:r w:rsidRPr="00154FA3">
        <w:rPr>
          <w:rFonts w:asciiTheme="minorHAnsi" w:hAnsiTheme="minorHAnsi" w:cstheme="minorHAnsi"/>
          <w:sz w:val="24"/>
          <w:szCs w:val="24"/>
          <w:lang w:val="hr-HR"/>
        </w:rPr>
        <w:t>Pravilnik o arheološkim istraživanjima</w:t>
      </w:r>
    </w:p>
    <w:p w:rsidR="00154FA3" w:rsidRPr="00154FA3" w:rsidRDefault="00154FA3" w:rsidP="00B7656F">
      <w:pPr>
        <w:pStyle w:val="StandardWeb"/>
        <w:spacing w:before="0" w:beforeAutospacing="0" w:after="0" w:afterAutospacing="0"/>
        <w:ind w:left="567"/>
        <w:jc w:val="both"/>
        <w:rPr>
          <w:i/>
        </w:rPr>
      </w:pPr>
    </w:p>
    <w:tbl>
      <w:tblPr>
        <w:tblStyle w:val="Reetkatablice"/>
        <w:tblW w:w="9175" w:type="dxa"/>
        <w:tblLook w:val="04A0" w:firstRow="1" w:lastRow="0" w:firstColumn="1" w:lastColumn="0" w:noHBand="0" w:noVBand="1"/>
      </w:tblPr>
      <w:tblGrid>
        <w:gridCol w:w="1530"/>
        <w:gridCol w:w="1386"/>
        <w:gridCol w:w="1305"/>
        <w:gridCol w:w="1405"/>
        <w:gridCol w:w="1306"/>
        <w:gridCol w:w="1306"/>
        <w:gridCol w:w="937"/>
      </w:tblGrid>
      <w:tr w:rsidR="007F72B8" w:rsidRPr="009D005B" w:rsidTr="00BA790F">
        <w:tc>
          <w:tcPr>
            <w:tcW w:w="1470" w:type="dxa"/>
            <w:shd w:val="clear" w:color="auto" w:fill="D0CECE" w:themeFill="background2" w:themeFillShade="E6"/>
          </w:tcPr>
          <w:p w:rsidR="00AE608B" w:rsidRPr="009D005B" w:rsidRDefault="00AE608B" w:rsidP="00DF0CFA">
            <w:pPr>
              <w:jc w:val="both"/>
            </w:pPr>
          </w:p>
          <w:p w:rsidR="00AE608B" w:rsidRPr="009D005B" w:rsidRDefault="00AE608B" w:rsidP="00DF0CFA">
            <w:pPr>
              <w:jc w:val="both"/>
            </w:pPr>
          </w:p>
        </w:tc>
        <w:tc>
          <w:tcPr>
            <w:tcW w:w="1332" w:type="dxa"/>
            <w:shd w:val="clear" w:color="auto" w:fill="D0CECE" w:themeFill="background2" w:themeFillShade="E6"/>
            <w:vAlign w:val="center"/>
          </w:tcPr>
          <w:p w:rsidR="00AE608B" w:rsidRPr="009D005B" w:rsidRDefault="00AE608B" w:rsidP="00EC7789">
            <w:pPr>
              <w:jc w:val="center"/>
            </w:pPr>
            <w:r w:rsidRPr="009D005B">
              <w:t>Izvršenje 20</w:t>
            </w:r>
            <w:r w:rsidR="00BA790F">
              <w:t>2</w:t>
            </w:r>
            <w:r w:rsidR="00EC7789">
              <w:t>1</w:t>
            </w:r>
            <w:r w:rsidRPr="009D005B">
              <w:t>.</w:t>
            </w:r>
          </w:p>
        </w:tc>
        <w:tc>
          <w:tcPr>
            <w:tcW w:w="1331" w:type="dxa"/>
            <w:shd w:val="clear" w:color="auto" w:fill="D0CECE" w:themeFill="background2" w:themeFillShade="E6"/>
            <w:vAlign w:val="center"/>
          </w:tcPr>
          <w:p w:rsidR="00AE608B" w:rsidRPr="009D005B" w:rsidRDefault="00AE608B" w:rsidP="00EC7789">
            <w:pPr>
              <w:jc w:val="center"/>
            </w:pPr>
            <w:r w:rsidRPr="009D005B">
              <w:t>Plan 20</w:t>
            </w:r>
            <w:r w:rsidR="00B13415">
              <w:t>2</w:t>
            </w:r>
            <w:r w:rsidR="00EC7789">
              <w:t>2</w:t>
            </w:r>
            <w:r w:rsidRPr="009D005B">
              <w:t>.</w:t>
            </w:r>
          </w:p>
        </w:tc>
        <w:tc>
          <w:tcPr>
            <w:tcW w:w="1438" w:type="dxa"/>
            <w:shd w:val="clear" w:color="auto" w:fill="D0CECE" w:themeFill="background2" w:themeFillShade="E6"/>
            <w:vAlign w:val="center"/>
          </w:tcPr>
          <w:p w:rsidR="00AE608B" w:rsidRPr="009D005B" w:rsidRDefault="00B13415" w:rsidP="00EC7789">
            <w:pPr>
              <w:jc w:val="center"/>
            </w:pPr>
            <w:r>
              <w:t>Plan 202</w:t>
            </w:r>
            <w:r w:rsidR="00EC7789">
              <w:t>3</w:t>
            </w:r>
            <w:r w:rsidR="00AE608B" w:rsidRPr="009D005B">
              <w:t>.</w:t>
            </w:r>
          </w:p>
        </w:tc>
        <w:tc>
          <w:tcPr>
            <w:tcW w:w="1331" w:type="dxa"/>
            <w:shd w:val="clear" w:color="auto" w:fill="D0CECE" w:themeFill="background2" w:themeFillShade="E6"/>
            <w:vAlign w:val="center"/>
          </w:tcPr>
          <w:p w:rsidR="00AE608B" w:rsidRPr="009D005B" w:rsidRDefault="00AE608B" w:rsidP="00EC7789">
            <w:pPr>
              <w:jc w:val="center"/>
            </w:pPr>
            <w:r w:rsidRPr="009D005B">
              <w:t>Plan 202</w:t>
            </w:r>
            <w:r w:rsidR="00EC7789">
              <w:t>4</w:t>
            </w:r>
            <w:r w:rsidRPr="009D005B">
              <w:t>.</w:t>
            </w:r>
          </w:p>
        </w:tc>
        <w:tc>
          <w:tcPr>
            <w:tcW w:w="1331" w:type="dxa"/>
            <w:shd w:val="clear" w:color="auto" w:fill="D0CECE" w:themeFill="background2" w:themeFillShade="E6"/>
            <w:vAlign w:val="center"/>
          </w:tcPr>
          <w:p w:rsidR="00AE608B" w:rsidRPr="009D005B" w:rsidRDefault="00B13415" w:rsidP="00EC7789">
            <w:pPr>
              <w:jc w:val="center"/>
            </w:pPr>
            <w:r>
              <w:t>Plan 202</w:t>
            </w:r>
            <w:r w:rsidR="00EC7789">
              <w:t>5</w:t>
            </w:r>
            <w:r w:rsidR="00AE608B" w:rsidRPr="009D005B">
              <w:t>.</w:t>
            </w:r>
          </w:p>
        </w:tc>
        <w:tc>
          <w:tcPr>
            <w:tcW w:w="942" w:type="dxa"/>
            <w:shd w:val="clear" w:color="auto" w:fill="D0CECE" w:themeFill="background2" w:themeFillShade="E6"/>
            <w:vAlign w:val="center"/>
          </w:tcPr>
          <w:p w:rsidR="00AE608B" w:rsidRPr="009D005B" w:rsidRDefault="00AE608B" w:rsidP="00EC7789">
            <w:pPr>
              <w:jc w:val="center"/>
            </w:pPr>
            <w:r w:rsidRPr="009D005B">
              <w:t>Indeks 2</w:t>
            </w:r>
            <w:r w:rsidR="00EC7789">
              <w:t>3</w:t>
            </w:r>
            <w:r w:rsidRPr="009D005B">
              <w:t>./</w:t>
            </w:r>
            <w:r w:rsidR="00B13415">
              <w:t>2</w:t>
            </w:r>
            <w:r w:rsidR="00EC7789">
              <w:t>2</w:t>
            </w:r>
            <w:r w:rsidR="00BA790F">
              <w:t>.</w:t>
            </w:r>
          </w:p>
        </w:tc>
      </w:tr>
      <w:tr w:rsidR="007F72B8" w:rsidRPr="009D005B" w:rsidTr="00BA790F">
        <w:tc>
          <w:tcPr>
            <w:tcW w:w="1470" w:type="dxa"/>
          </w:tcPr>
          <w:p w:rsidR="00AE608B" w:rsidRPr="009D005B" w:rsidRDefault="00FD2FC2" w:rsidP="00DF0CFA">
            <w:r w:rsidRPr="00FD2FC2">
              <w:t>A622137 PROGRAMSKO FINANCIRANJE JAVNIH ZNANSTVENIH INSTITUTA</w:t>
            </w:r>
          </w:p>
        </w:tc>
        <w:tc>
          <w:tcPr>
            <w:tcW w:w="1332" w:type="dxa"/>
          </w:tcPr>
          <w:p w:rsidR="00AE608B" w:rsidRPr="009D005B" w:rsidRDefault="007F72B8" w:rsidP="00BA790F">
            <w:pPr>
              <w:jc w:val="center"/>
            </w:pPr>
            <w:r>
              <w:t>1.299.471</w:t>
            </w:r>
            <w:r w:rsidR="008C7C8A">
              <w:t>,00</w:t>
            </w:r>
          </w:p>
        </w:tc>
        <w:tc>
          <w:tcPr>
            <w:tcW w:w="1331" w:type="dxa"/>
          </w:tcPr>
          <w:p w:rsidR="00AE608B" w:rsidRPr="005D3AE2" w:rsidRDefault="00D84067" w:rsidP="00D84067">
            <w:pPr>
              <w:jc w:val="center"/>
            </w:pPr>
            <w:r w:rsidRPr="005D3AE2">
              <w:t xml:space="preserve">187.734 </w:t>
            </w:r>
            <w:proofErr w:type="spellStart"/>
            <w:r w:rsidRPr="005D3AE2">
              <w:t>eur</w:t>
            </w:r>
            <w:proofErr w:type="spellEnd"/>
            <w:r w:rsidR="005A5ECF" w:rsidRPr="005D3AE2">
              <w:t xml:space="preserve"> </w:t>
            </w:r>
          </w:p>
        </w:tc>
        <w:tc>
          <w:tcPr>
            <w:tcW w:w="1438" w:type="dxa"/>
          </w:tcPr>
          <w:p w:rsidR="00AE608B" w:rsidRPr="005D3AE2" w:rsidRDefault="00801385" w:rsidP="00D84067">
            <w:pPr>
              <w:jc w:val="center"/>
            </w:pPr>
            <w:r>
              <w:t>193.981</w:t>
            </w:r>
            <w:r w:rsidR="005A5ECF" w:rsidRPr="005D3AE2">
              <w:t xml:space="preserve"> </w:t>
            </w:r>
            <w:proofErr w:type="spellStart"/>
            <w:r w:rsidR="00D84067" w:rsidRPr="005D3AE2">
              <w:t>eur</w:t>
            </w:r>
            <w:proofErr w:type="spellEnd"/>
          </w:p>
        </w:tc>
        <w:tc>
          <w:tcPr>
            <w:tcW w:w="1331" w:type="dxa"/>
          </w:tcPr>
          <w:p w:rsidR="00AE608B" w:rsidRPr="005D3AE2" w:rsidRDefault="00801385" w:rsidP="000A464D">
            <w:pPr>
              <w:jc w:val="center"/>
            </w:pPr>
            <w:r>
              <w:t>193.981</w:t>
            </w:r>
            <w:r w:rsidR="005A5ECF" w:rsidRPr="005D3AE2">
              <w:t xml:space="preserve"> </w:t>
            </w:r>
            <w:proofErr w:type="spellStart"/>
            <w:r w:rsidR="000A464D" w:rsidRPr="005D3AE2">
              <w:t>eur</w:t>
            </w:r>
            <w:proofErr w:type="spellEnd"/>
          </w:p>
        </w:tc>
        <w:tc>
          <w:tcPr>
            <w:tcW w:w="1331" w:type="dxa"/>
          </w:tcPr>
          <w:p w:rsidR="00AE608B" w:rsidRPr="005D3AE2" w:rsidRDefault="00801385" w:rsidP="000A464D">
            <w:pPr>
              <w:jc w:val="center"/>
            </w:pPr>
            <w:r>
              <w:t>193.981</w:t>
            </w:r>
            <w:r w:rsidR="005A5ECF" w:rsidRPr="005D3AE2">
              <w:t xml:space="preserve"> </w:t>
            </w:r>
            <w:proofErr w:type="spellStart"/>
            <w:r w:rsidR="000A464D" w:rsidRPr="005D3AE2">
              <w:t>eur</w:t>
            </w:r>
            <w:proofErr w:type="spellEnd"/>
          </w:p>
        </w:tc>
        <w:tc>
          <w:tcPr>
            <w:tcW w:w="942" w:type="dxa"/>
          </w:tcPr>
          <w:p w:rsidR="00AE608B" w:rsidRPr="005D3AE2" w:rsidRDefault="00801385" w:rsidP="00BA790F">
            <w:pPr>
              <w:jc w:val="center"/>
            </w:pPr>
            <w:r>
              <w:t>103</w:t>
            </w:r>
          </w:p>
        </w:tc>
      </w:tr>
    </w:tbl>
    <w:p w:rsidR="00AE608B" w:rsidRPr="009D005B" w:rsidRDefault="00AE608B" w:rsidP="00A1630B">
      <w:pPr>
        <w:spacing w:before="240" w:line="240" w:lineRule="auto"/>
        <w:jc w:val="both"/>
        <w:rPr>
          <w:i/>
        </w:rPr>
      </w:pPr>
      <w:r w:rsidRPr="009D005B">
        <w:rPr>
          <w:i/>
        </w:rPr>
        <w:t>Ova aktivnost sastoji se od sljedećih elemenata:</w:t>
      </w:r>
    </w:p>
    <w:p w:rsidR="004822F2" w:rsidRDefault="00FE3AA1" w:rsidP="00A1630B">
      <w:pPr>
        <w:pStyle w:val="Odlomakpopisa"/>
        <w:numPr>
          <w:ilvl w:val="0"/>
          <w:numId w:val="17"/>
        </w:numPr>
        <w:spacing w:line="240" w:lineRule="auto"/>
        <w:jc w:val="both"/>
        <w:rPr>
          <w:i/>
        </w:rPr>
      </w:pPr>
      <w:r>
        <w:rPr>
          <w:i/>
        </w:rPr>
        <w:t>Hladni pogon</w:t>
      </w:r>
    </w:p>
    <w:p w:rsidR="00FE3AA1" w:rsidRDefault="00FE3AA1" w:rsidP="00A1630B">
      <w:pPr>
        <w:pStyle w:val="Odlomakpopisa"/>
        <w:numPr>
          <w:ilvl w:val="0"/>
          <w:numId w:val="17"/>
        </w:numPr>
        <w:spacing w:line="240" w:lineRule="auto"/>
        <w:jc w:val="both"/>
        <w:rPr>
          <w:i/>
        </w:rPr>
      </w:pPr>
      <w:r>
        <w:rPr>
          <w:i/>
        </w:rPr>
        <w:t>Trošak nabave kapitalne opreme</w:t>
      </w:r>
    </w:p>
    <w:p w:rsidR="00FE3AA1" w:rsidRPr="004A0FDC" w:rsidRDefault="00FE3AA1" w:rsidP="00A1630B">
      <w:pPr>
        <w:pStyle w:val="Odlomakpopisa"/>
        <w:numPr>
          <w:ilvl w:val="0"/>
          <w:numId w:val="17"/>
        </w:numPr>
        <w:spacing w:line="240" w:lineRule="auto"/>
        <w:jc w:val="both"/>
        <w:rPr>
          <w:i/>
        </w:rPr>
      </w:pPr>
      <w:r>
        <w:rPr>
          <w:i/>
        </w:rPr>
        <w:t xml:space="preserve">Financiranje institucijskih ciljeva (izdavanje </w:t>
      </w:r>
      <w:r w:rsidR="00BA790F">
        <w:rPr>
          <w:i/>
        </w:rPr>
        <w:t>publikacija IARH-a</w:t>
      </w:r>
      <w:r>
        <w:rPr>
          <w:i/>
        </w:rPr>
        <w:t xml:space="preserve">, </w:t>
      </w:r>
      <w:r w:rsidR="00BA790F">
        <w:rPr>
          <w:i/>
        </w:rPr>
        <w:t>organizacija znanstvenih simpozija, provedba arheoloških istraživanja</w:t>
      </w:r>
      <w:r>
        <w:rPr>
          <w:i/>
        </w:rPr>
        <w:t>)</w:t>
      </w:r>
    </w:p>
    <w:p w:rsidR="00AA562A" w:rsidRPr="00AA562A" w:rsidRDefault="00AA562A" w:rsidP="00A1630B">
      <w:pPr>
        <w:spacing w:line="240" w:lineRule="auto"/>
        <w:jc w:val="both"/>
        <w:rPr>
          <w:i/>
        </w:rPr>
      </w:pPr>
      <w:r w:rsidRPr="00AA562A">
        <w:rPr>
          <w:i/>
        </w:rPr>
        <w:t>Provedba ove aktivnosti započela je 2013. godine te se od tada provodi svake godine temeljem ugovora o programskom financiranju znanstvene djelatnosti na javnim znanstvenim institutima (Ministarstvo znanosti i obrazovanja).</w:t>
      </w:r>
    </w:p>
    <w:p w:rsidR="00AA562A" w:rsidRPr="00AA562A" w:rsidRDefault="00AA562A" w:rsidP="00A1630B">
      <w:pPr>
        <w:spacing w:line="240" w:lineRule="auto"/>
        <w:jc w:val="both"/>
        <w:rPr>
          <w:i/>
        </w:rPr>
      </w:pPr>
      <w:r w:rsidRPr="00AA562A">
        <w:rPr>
          <w:i/>
        </w:rPr>
        <w:t xml:space="preserve">Sredstva programskog financiranja planiraju se </w:t>
      </w:r>
      <w:r>
        <w:rPr>
          <w:i/>
        </w:rPr>
        <w:t>u</w:t>
      </w:r>
      <w:r w:rsidRPr="00AA562A">
        <w:rPr>
          <w:i/>
        </w:rPr>
        <w:t xml:space="preserve"> iznosu od </w:t>
      </w:r>
      <w:r w:rsidR="00801385">
        <w:rPr>
          <w:i/>
        </w:rPr>
        <w:t>193.981</w:t>
      </w:r>
      <w:bookmarkStart w:id="0" w:name="_GoBack"/>
      <w:bookmarkEnd w:id="0"/>
      <w:r w:rsidR="00BA790F" w:rsidRPr="005D3AE2">
        <w:rPr>
          <w:i/>
        </w:rPr>
        <w:t>,00</w:t>
      </w:r>
      <w:r w:rsidRPr="005D3AE2">
        <w:rPr>
          <w:i/>
        </w:rPr>
        <w:t xml:space="preserve"> </w:t>
      </w:r>
      <w:r w:rsidR="007F72B8">
        <w:rPr>
          <w:i/>
        </w:rPr>
        <w:t>eura</w:t>
      </w:r>
      <w:r w:rsidRPr="00AA562A">
        <w:rPr>
          <w:i/>
        </w:rPr>
        <w:t>.</w:t>
      </w:r>
    </w:p>
    <w:p w:rsidR="00FE3AA1" w:rsidRPr="00DF0CFA" w:rsidRDefault="00AA562A" w:rsidP="00A1630B">
      <w:pPr>
        <w:spacing w:line="240" w:lineRule="auto"/>
        <w:jc w:val="both"/>
        <w:rPr>
          <w:i/>
        </w:rPr>
      </w:pPr>
      <w:r w:rsidRPr="00AA562A">
        <w:rPr>
          <w:i/>
        </w:rPr>
        <w:t>Nastavno su prikazani institucijski ciljevi i rezultati koji su predviđeni Programskim ugovorom u predstojećem planskom razd</w:t>
      </w:r>
      <w:r>
        <w:rPr>
          <w:i/>
        </w:rPr>
        <w:t>oblju programskog financiranja.</w:t>
      </w:r>
    </w:p>
    <w:tbl>
      <w:tblPr>
        <w:tblStyle w:val="Reetkatablice"/>
        <w:tblW w:w="9402" w:type="dxa"/>
        <w:tblLayout w:type="fixed"/>
        <w:tblCellMar>
          <w:left w:w="0" w:type="dxa"/>
          <w:right w:w="0" w:type="dxa"/>
        </w:tblCellMar>
        <w:tblLook w:val="04A0" w:firstRow="1" w:lastRow="0" w:firstColumn="1" w:lastColumn="0" w:noHBand="0" w:noVBand="1"/>
      </w:tblPr>
      <w:tblGrid>
        <w:gridCol w:w="1129"/>
        <w:gridCol w:w="1560"/>
        <w:gridCol w:w="1118"/>
        <w:gridCol w:w="1119"/>
        <w:gridCol w:w="1119"/>
        <w:gridCol w:w="1119"/>
        <w:gridCol w:w="1119"/>
        <w:gridCol w:w="1119"/>
      </w:tblGrid>
      <w:tr w:rsidR="00AE608B" w:rsidRPr="009D005B" w:rsidTr="0010612C">
        <w:tc>
          <w:tcPr>
            <w:tcW w:w="1129" w:type="dxa"/>
            <w:shd w:val="clear" w:color="auto" w:fill="D0CECE" w:themeFill="background2" w:themeFillShade="E6"/>
            <w:vAlign w:val="center"/>
          </w:tcPr>
          <w:p w:rsidR="00AE608B" w:rsidRPr="009D005B" w:rsidRDefault="00AE608B" w:rsidP="00A94A23">
            <w:pPr>
              <w:jc w:val="center"/>
              <w:rPr>
                <w:sz w:val="20"/>
              </w:rPr>
            </w:pPr>
            <w:r w:rsidRPr="009D005B">
              <w:rPr>
                <w:sz w:val="20"/>
              </w:rPr>
              <w:t>Pokazatelj rezultata</w:t>
            </w:r>
          </w:p>
        </w:tc>
        <w:tc>
          <w:tcPr>
            <w:tcW w:w="1560" w:type="dxa"/>
            <w:shd w:val="clear" w:color="auto" w:fill="D0CECE" w:themeFill="background2" w:themeFillShade="E6"/>
            <w:vAlign w:val="center"/>
          </w:tcPr>
          <w:p w:rsidR="00AE608B" w:rsidRPr="009D005B" w:rsidRDefault="00AE608B" w:rsidP="00A94A23">
            <w:pPr>
              <w:jc w:val="center"/>
              <w:rPr>
                <w:sz w:val="20"/>
              </w:rPr>
            </w:pPr>
            <w:r w:rsidRPr="009D005B">
              <w:rPr>
                <w:sz w:val="20"/>
              </w:rPr>
              <w:t>Definicija</w:t>
            </w:r>
          </w:p>
        </w:tc>
        <w:tc>
          <w:tcPr>
            <w:tcW w:w="1118" w:type="dxa"/>
            <w:shd w:val="clear" w:color="auto" w:fill="D0CECE" w:themeFill="background2" w:themeFillShade="E6"/>
            <w:vAlign w:val="center"/>
          </w:tcPr>
          <w:p w:rsidR="00AE608B" w:rsidRPr="009D005B" w:rsidRDefault="00AE608B" w:rsidP="00A94A23">
            <w:pPr>
              <w:jc w:val="center"/>
              <w:rPr>
                <w:sz w:val="20"/>
              </w:rPr>
            </w:pPr>
            <w:r w:rsidRPr="009D005B">
              <w:rPr>
                <w:sz w:val="20"/>
              </w:rPr>
              <w:t>Jedinica</w:t>
            </w:r>
          </w:p>
        </w:tc>
        <w:tc>
          <w:tcPr>
            <w:tcW w:w="1119" w:type="dxa"/>
            <w:shd w:val="clear" w:color="auto" w:fill="D0CECE" w:themeFill="background2" w:themeFillShade="E6"/>
            <w:vAlign w:val="center"/>
          </w:tcPr>
          <w:p w:rsidR="00AE608B" w:rsidRPr="009D005B" w:rsidRDefault="00AE608B" w:rsidP="00A94A23">
            <w:pPr>
              <w:jc w:val="center"/>
              <w:rPr>
                <w:sz w:val="20"/>
              </w:rPr>
            </w:pPr>
            <w:r w:rsidRPr="009D005B">
              <w:rPr>
                <w:sz w:val="20"/>
              </w:rPr>
              <w:t>Polazna vrijednost</w:t>
            </w:r>
          </w:p>
        </w:tc>
        <w:tc>
          <w:tcPr>
            <w:tcW w:w="1119" w:type="dxa"/>
            <w:shd w:val="clear" w:color="auto" w:fill="D0CECE" w:themeFill="background2" w:themeFillShade="E6"/>
            <w:vAlign w:val="center"/>
          </w:tcPr>
          <w:p w:rsidR="00AE608B" w:rsidRPr="009D005B" w:rsidRDefault="00AE608B" w:rsidP="00A94A23">
            <w:pPr>
              <w:jc w:val="center"/>
              <w:rPr>
                <w:sz w:val="20"/>
              </w:rPr>
            </w:pPr>
            <w:r w:rsidRPr="009D005B">
              <w:rPr>
                <w:sz w:val="20"/>
              </w:rPr>
              <w:t>Izvor podataka</w:t>
            </w:r>
          </w:p>
        </w:tc>
        <w:tc>
          <w:tcPr>
            <w:tcW w:w="1119" w:type="dxa"/>
            <w:shd w:val="clear" w:color="auto" w:fill="D0CECE" w:themeFill="background2" w:themeFillShade="E6"/>
            <w:vAlign w:val="center"/>
          </w:tcPr>
          <w:p w:rsidR="00AE608B" w:rsidRPr="009D005B" w:rsidRDefault="00AE608B" w:rsidP="00EC7789">
            <w:pPr>
              <w:jc w:val="center"/>
              <w:rPr>
                <w:sz w:val="20"/>
              </w:rPr>
            </w:pPr>
            <w:r w:rsidRPr="009D005B">
              <w:rPr>
                <w:sz w:val="20"/>
              </w:rPr>
              <w:t>Ciljana vrijednost za 202</w:t>
            </w:r>
            <w:r w:rsidR="00EC7789">
              <w:rPr>
                <w:sz w:val="20"/>
              </w:rPr>
              <w:t>3</w:t>
            </w:r>
            <w:r w:rsidRPr="009D005B">
              <w:rPr>
                <w:sz w:val="20"/>
              </w:rPr>
              <w:t>.</w:t>
            </w:r>
          </w:p>
        </w:tc>
        <w:tc>
          <w:tcPr>
            <w:tcW w:w="1119" w:type="dxa"/>
            <w:shd w:val="clear" w:color="auto" w:fill="D0CECE" w:themeFill="background2" w:themeFillShade="E6"/>
          </w:tcPr>
          <w:p w:rsidR="00AE608B" w:rsidRPr="009D005B" w:rsidRDefault="00AE608B" w:rsidP="00EC7789">
            <w:pPr>
              <w:jc w:val="center"/>
              <w:rPr>
                <w:sz w:val="20"/>
              </w:rPr>
            </w:pPr>
            <w:r w:rsidRPr="009D005B">
              <w:rPr>
                <w:sz w:val="20"/>
              </w:rPr>
              <w:t>Ciljana vrijednost za 202</w:t>
            </w:r>
            <w:r w:rsidR="00EC7789">
              <w:rPr>
                <w:sz w:val="20"/>
              </w:rPr>
              <w:t>4</w:t>
            </w:r>
            <w:r w:rsidRPr="009D005B">
              <w:rPr>
                <w:sz w:val="20"/>
              </w:rPr>
              <w:t>.</w:t>
            </w:r>
          </w:p>
        </w:tc>
        <w:tc>
          <w:tcPr>
            <w:tcW w:w="1119" w:type="dxa"/>
            <w:shd w:val="clear" w:color="auto" w:fill="D0CECE" w:themeFill="background2" w:themeFillShade="E6"/>
          </w:tcPr>
          <w:p w:rsidR="00AE608B" w:rsidRPr="009D005B" w:rsidRDefault="00AE608B" w:rsidP="00EC7789">
            <w:pPr>
              <w:jc w:val="center"/>
              <w:rPr>
                <w:sz w:val="20"/>
              </w:rPr>
            </w:pPr>
            <w:r w:rsidRPr="009D005B">
              <w:rPr>
                <w:sz w:val="20"/>
              </w:rPr>
              <w:t>Ciljana vrijednost za 202</w:t>
            </w:r>
            <w:r w:rsidR="00EC7789">
              <w:rPr>
                <w:sz w:val="20"/>
              </w:rPr>
              <w:t>5</w:t>
            </w:r>
            <w:r w:rsidRPr="009D005B">
              <w:rPr>
                <w:sz w:val="20"/>
              </w:rPr>
              <w:t>.</w:t>
            </w:r>
          </w:p>
        </w:tc>
      </w:tr>
      <w:tr w:rsidR="00AE608B" w:rsidRPr="009D005B" w:rsidTr="0010612C">
        <w:tc>
          <w:tcPr>
            <w:tcW w:w="1129" w:type="dxa"/>
            <w:tcBorders>
              <w:bottom w:val="single" w:sz="4" w:space="0" w:color="auto"/>
            </w:tcBorders>
            <w:shd w:val="clear" w:color="auto" w:fill="auto"/>
            <w:vAlign w:val="center"/>
          </w:tcPr>
          <w:p w:rsidR="00AE608B" w:rsidRPr="00A1630B" w:rsidRDefault="0010612C" w:rsidP="005935E7">
            <w:pPr>
              <w:jc w:val="center"/>
              <w:rPr>
                <w:rFonts w:cstheme="minorHAnsi"/>
                <w:i/>
                <w:sz w:val="18"/>
              </w:rPr>
            </w:pPr>
            <w:r w:rsidRPr="00A1630B">
              <w:rPr>
                <w:rFonts w:cstheme="minorHAnsi"/>
                <w:sz w:val="18"/>
              </w:rPr>
              <w:t>Veći broj znanstvenih istraživanja, objavljenih radova</w:t>
            </w:r>
            <w:r w:rsidR="005935E7" w:rsidRPr="00A1630B">
              <w:rPr>
                <w:rFonts w:cstheme="minorHAnsi"/>
                <w:sz w:val="18"/>
              </w:rPr>
              <w:t>,</w:t>
            </w:r>
            <w:r w:rsidRPr="00A1630B">
              <w:rPr>
                <w:rFonts w:cstheme="minorHAnsi"/>
                <w:sz w:val="18"/>
              </w:rPr>
              <w:t xml:space="preserve"> prijava domaćih i međunarodnih projekata</w:t>
            </w:r>
          </w:p>
        </w:tc>
        <w:tc>
          <w:tcPr>
            <w:tcW w:w="1560" w:type="dxa"/>
            <w:tcBorders>
              <w:bottom w:val="single" w:sz="4" w:space="0" w:color="auto"/>
            </w:tcBorders>
            <w:shd w:val="clear" w:color="auto" w:fill="auto"/>
            <w:vAlign w:val="center"/>
          </w:tcPr>
          <w:p w:rsidR="0010612C" w:rsidRPr="00A1630B" w:rsidRDefault="0010612C" w:rsidP="00A94A23">
            <w:pPr>
              <w:jc w:val="center"/>
              <w:rPr>
                <w:rFonts w:cstheme="minorHAnsi"/>
                <w:sz w:val="18"/>
              </w:rPr>
            </w:pPr>
            <w:r w:rsidRPr="00A1630B">
              <w:rPr>
                <w:rFonts w:cstheme="minorHAnsi"/>
                <w:sz w:val="18"/>
              </w:rPr>
              <w:t>Aktivnosti se financiraju iz sredstava dodijeljenih od strane</w:t>
            </w:r>
          </w:p>
          <w:p w:rsidR="00A627C9" w:rsidRPr="00A1630B" w:rsidRDefault="00154FA3" w:rsidP="00A627C9">
            <w:pPr>
              <w:jc w:val="center"/>
              <w:rPr>
                <w:rFonts w:cstheme="minorHAnsi"/>
                <w:i/>
                <w:sz w:val="18"/>
              </w:rPr>
            </w:pPr>
            <w:r>
              <w:rPr>
                <w:rFonts w:cstheme="minorHAnsi"/>
                <w:sz w:val="18"/>
              </w:rPr>
              <w:t>MZO</w:t>
            </w:r>
            <w:r w:rsidR="0010612C" w:rsidRPr="00A1630B">
              <w:rPr>
                <w:rFonts w:cstheme="minorHAnsi"/>
                <w:sz w:val="18"/>
              </w:rPr>
              <w:t xml:space="preserve">, temeljem Ugovora o </w:t>
            </w:r>
            <w:r w:rsidR="00BA790F" w:rsidRPr="00A1630B">
              <w:rPr>
                <w:rFonts w:cstheme="minorHAnsi"/>
                <w:sz w:val="18"/>
              </w:rPr>
              <w:t>Programskome</w:t>
            </w:r>
            <w:r w:rsidR="0010612C" w:rsidRPr="00A1630B">
              <w:rPr>
                <w:rFonts w:cstheme="minorHAnsi"/>
                <w:sz w:val="18"/>
              </w:rPr>
              <w:t xml:space="preserve"> financiranju znanstvene djelatnosti koji Ministarstvo i Institut zaključuju na godišnjoj razini </w:t>
            </w:r>
          </w:p>
          <w:p w:rsidR="00AE608B" w:rsidRPr="00A1630B" w:rsidRDefault="00AE608B" w:rsidP="00E431AF">
            <w:pPr>
              <w:jc w:val="center"/>
              <w:rPr>
                <w:rFonts w:cstheme="minorHAnsi"/>
                <w:i/>
                <w:sz w:val="18"/>
              </w:rPr>
            </w:pPr>
          </w:p>
        </w:tc>
        <w:tc>
          <w:tcPr>
            <w:tcW w:w="1118" w:type="dxa"/>
            <w:tcBorders>
              <w:bottom w:val="single" w:sz="4" w:space="0" w:color="auto"/>
            </w:tcBorders>
            <w:shd w:val="clear" w:color="auto" w:fill="auto"/>
            <w:vAlign w:val="center"/>
          </w:tcPr>
          <w:p w:rsidR="00AE608B" w:rsidRPr="009D005B" w:rsidRDefault="00AE608B" w:rsidP="00A94A23">
            <w:pPr>
              <w:jc w:val="center"/>
              <w:rPr>
                <w:i/>
                <w:sz w:val="20"/>
              </w:rPr>
            </w:pPr>
            <w:r w:rsidRPr="009D005B">
              <w:rPr>
                <w:i/>
                <w:sz w:val="20"/>
              </w:rPr>
              <w:t xml:space="preserve">Udio </w:t>
            </w:r>
          </w:p>
        </w:tc>
        <w:tc>
          <w:tcPr>
            <w:tcW w:w="1119" w:type="dxa"/>
            <w:tcBorders>
              <w:bottom w:val="single" w:sz="4" w:space="0" w:color="auto"/>
            </w:tcBorders>
            <w:shd w:val="clear" w:color="auto" w:fill="auto"/>
            <w:vAlign w:val="center"/>
          </w:tcPr>
          <w:p w:rsidR="00AE608B" w:rsidRPr="009D005B" w:rsidRDefault="00E431AF" w:rsidP="00A94A23">
            <w:pPr>
              <w:jc w:val="center"/>
              <w:rPr>
                <w:i/>
                <w:sz w:val="20"/>
              </w:rPr>
            </w:pPr>
            <w:r>
              <w:rPr>
                <w:i/>
                <w:sz w:val="20"/>
              </w:rPr>
              <w:t>100</w:t>
            </w:r>
            <w:r w:rsidR="00AE608B" w:rsidRPr="009D005B">
              <w:rPr>
                <w:i/>
                <w:sz w:val="20"/>
              </w:rPr>
              <w:t>%</w:t>
            </w:r>
          </w:p>
        </w:tc>
        <w:tc>
          <w:tcPr>
            <w:tcW w:w="1119" w:type="dxa"/>
            <w:tcBorders>
              <w:bottom w:val="single" w:sz="4" w:space="0" w:color="auto"/>
            </w:tcBorders>
            <w:shd w:val="clear" w:color="auto" w:fill="auto"/>
            <w:vAlign w:val="center"/>
          </w:tcPr>
          <w:p w:rsidR="00AE608B" w:rsidRPr="009D005B" w:rsidRDefault="00AE608B" w:rsidP="00A94A23">
            <w:pPr>
              <w:jc w:val="center"/>
              <w:rPr>
                <w:i/>
                <w:sz w:val="20"/>
              </w:rPr>
            </w:pPr>
            <w:r w:rsidRPr="009D005B">
              <w:rPr>
                <w:i/>
                <w:sz w:val="20"/>
              </w:rPr>
              <w:t>Ministarstvo</w:t>
            </w:r>
          </w:p>
        </w:tc>
        <w:tc>
          <w:tcPr>
            <w:tcW w:w="1119" w:type="dxa"/>
            <w:tcBorders>
              <w:bottom w:val="single" w:sz="4" w:space="0" w:color="auto"/>
            </w:tcBorders>
            <w:shd w:val="clear" w:color="auto" w:fill="auto"/>
            <w:vAlign w:val="center"/>
          </w:tcPr>
          <w:p w:rsidR="00AE608B" w:rsidRPr="009D005B" w:rsidRDefault="00E431AF" w:rsidP="00A94A23">
            <w:pPr>
              <w:jc w:val="center"/>
              <w:rPr>
                <w:i/>
                <w:sz w:val="20"/>
              </w:rPr>
            </w:pPr>
            <w:r>
              <w:rPr>
                <w:i/>
                <w:sz w:val="20"/>
              </w:rPr>
              <w:t>100</w:t>
            </w:r>
            <w:r w:rsidR="00AE608B" w:rsidRPr="009D005B">
              <w:rPr>
                <w:i/>
                <w:sz w:val="20"/>
              </w:rPr>
              <w:t>%</w:t>
            </w:r>
          </w:p>
        </w:tc>
        <w:tc>
          <w:tcPr>
            <w:tcW w:w="1119" w:type="dxa"/>
            <w:tcBorders>
              <w:bottom w:val="single" w:sz="4" w:space="0" w:color="auto"/>
            </w:tcBorders>
            <w:shd w:val="clear" w:color="auto" w:fill="auto"/>
            <w:vAlign w:val="center"/>
          </w:tcPr>
          <w:p w:rsidR="00AE608B" w:rsidRPr="009D005B" w:rsidRDefault="00E431AF" w:rsidP="00A94A23">
            <w:pPr>
              <w:jc w:val="center"/>
              <w:rPr>
                <w:i/>
                <w:sz w:val="20"/>
              </w:rPr>
            </w:pPr>
            <w:r>
              <w:rPr>
                <w:i/>
                <w:sz w:val="20"/>
              </w:rPr>
              <w:t>100</w:t>
            </w:r>
            <w:r w:rsidR="00AE608B" w:rsidRPr="009D005B">
              <w:rPr>
                <w:i/>
                <w:sz w:val="20"/>
              </w:rPr>
              <w:t>%</w:t>
            </w:r>
          </w:p>
        </w:tc>
        <w:tc>
          <w:tcPr>
            <w:tcW w:w="1119" w:type="dxa"/>
            <w:tcBorders>
              <w:bottom w:val="single" w:sz="4" w:space="0" w:color="auto"/>
            </w:tcBorders>
            <w:shd w:val="clear" w:color="auto" w:fill="auto"/>
            <w:vAlign w:val="center"/>
          </w:tcPr>
          <w:p w:rsidR="00AE608B" w:rsidRPr="009D005B" w:rsidRDefault="00AE608B" w:rsidP="00A94A23">
            <w:pPr>
              <w:jc w:val="center"/>
              <w:rPr>
                <w:i/>
                <w:sz w:val="20"/>
              </w:rPr>
            </w:pPr>
            <w:r w:rsidRPr="009D005B">
              <w:rPr>
                <w:i/>
                <w:sz w:val="20"/>
              </w:rPr>
              <w:t>100%</w:t>
            </w:r>
          </w:p>
        </w:tc>
      </w:tr>
    </w:tbl>
    <w:p w:rsidR="00BA790F" w:rsidRDefault="00BA790F" w:rsidP="00BA790F">
      <w:pPr>
        <w:pStyle w:val="Odlomakpopisa"/>
        <w:spacing w:after="120" w:line="264" w:lineRule="auto"/>
        <w:jc w:val="both"/>
        <w:rPr>
          <w:rFonts w:ascii="Times New Roman" w:eastAsia="Times New Roman" w:hAnsi="Times New Roman" w:cs="Times New Roman"/>
          <w:lang w:eastAsia="hr-HR"/>
        </w:rPr>
      </w:pPr>
    </w:p>
    <w:p w:rsidR="00AA562A" w:rsidRPr="00154FA3" w:rsidRDefault="00AA562A" w:rsidP="00154FA3">
      <w:pPr>
        <w:pStyle w:val="Odlomakpopisa"/>
        <w:numPr>
          <w:ilvl w:val="0"/>
          <w:numId w:val="26"/>
        </w:numPr>
        <w:spacing w:after="120" w:line="240" w:lineRule="auto"/>
        <w:jc w:val="both"/>
        <w:rPr>
          <w:rFonts w:eastAsia="Times New Roman" w:cstheme="minorHAnsi"/>
          <w:sz w:val="24"/>
          <w:lang w:eastAsia="hr-HR"/>
        </w:rPr>
      </w:pPr>
      <w:r w:rsidRPr="00154FA3">
        <w:rPr>
          <w:rFonts w:eastAsia="Times New Roman" w:cstheme="minorHAnsi"/>
          <w:sz w:val="24"/>
          <w:lang w:eastAsia="hr-HR"/>
        </w:rPr>
        <w:lastRenderedPageBreak/>
        <w:t xml:space="preserve">Broj znanstvenih radova objavljenih u časopisima uvedenim u bazu </w:t>
      </w:r>
      <w:proofErr w:type="spellStart"/>
      <w:r w:rsidRPr="00154FA3">
        <w:rPr>
          <w:rFonts w:eastAsia="Times New Roman" w:cstheme="minorHAnsi"/>
          <w:sz w:val="24"/>
          <w:lang w:eastAsia="hr-HR"/>
        </w:rPr>
        <w:t>W</w:t>
      </w:r>
      <w:r w:rsidR="00BA790F" w:rsidRPr="00154FA3">
        <w:rPr>
          <w:rFonts w:eastAsia="Times New Roman" w:cstheme="minorHAnsi"/>
          <w:sz w:val="24"/>
          <w:lang w:eastAsia="hr-HR"/>
        </w:rPr>
        <w:t>oS</w:t>
      </w:r>
      <w:proofErr w:type="spellEnd"/>
      <w:r w:rsidR="00BA790F" w:rsidRPr="00154FA3">
        <w:rPr>
          <w:rFonts w:eastAsia="Times New Roman" w:cstheme="minorHAnsi"/>
          <w:sz w:val="24"/>
          <w:lang w:eastAsia="hr-HR"/>
        </w:rPr>
        <w:t xml:space="preserve"> i </w:t>
      </w:r>
      <w:proofErr w:type="spellStart"/>
      <w:r w:rsidR="00BA790F" w:rsidRPr="00154FA3">
        <w:rPr>
          <w:rFonts w:eastAsia="Times New Roman" w:cstheme="minorHAnsi"/>
          <w:sz w:val="24"/>
          <w:lang w:eastAsia="hr-HR"/>
        </w:rPr>
        <w:t>Scopus</w:t>
      </w:r>
      <w:proofErr w:type="spellEnd"/>
    </w:p>
    <w:p w:rsidR="00AA562A" w:rsidRPr="00154FA3" w:rsidRDefault="00AA562A" w:rsidP="00154FA3">
      <w:pPr>
        <w:pStyle w:val="Odlomakpopisa"/>
        <w:numPr>
          <w:ilvl w:val="0"/>
          <w:numId w:val="26"/>
        </w:numPr>
        <w:spacing w:after="120" w:line="240" w:lineRule="auto"/>
        <w:jc w:val="both"/>
        <w:rPr>
          <w:rFonts w:eastAsia="Times New Roman" w:cstheme="minorHAnsi"/>
          <w:sz w:val="24"/>
          <w:lang w:eastAsia="hr-HR"/>
        </w:rPr>
      </w:pPr>
      <w:r w:rsidRPr="00154FA3">
        <w:rPr>
          <w:rFonts w:eastAsia="Times New Roman" w:cstheme="minorHAnsi"/>
          <w:sz w:val="24"/>
          <w:lang w:eastAsia="hr-HR"/>
        </w:rPr>
        <w:t>Broj autorskih ili uredničkih znanstvenih knjiga,</w:t>
      </w:r>
      <w:r w:rsidR="00BA790F" w:rsidRPr="00154FA3">
        <w:rPr>
          <w:rFonts w:eastAsia="Times New Roman" w:cstheme="minorHAnsi"/>
          <w:sz w:val="24"/>
          <w:lang w:eastAsia="hr-HR"/>
        </w:rPr>
        <w:t xml:space="preserve"> </w:t>
      </w:r>
      <w:r w:rsidRPr="00154FA3">
        <w:rPr>
          <w:rFonts w:eastAsia="Times New Roman" w:cstheme="minorHAnsi"/>
          <w:sz w:val="24"/>
          <w:lang w:eastAsia="hr-HR"/>
        </w:rPr>
        <w:t xml:space="preserve">s dvjema </w:t>
      </w:r>
      <w:proofErr w:type="spellStart"/>
      <w:r w:rsidRPr="00154FA3">
        <w:rPr>
          <w:rFonts w:eastAsia="Times New Roman" w:cstheme="minorHAnsi"/>
          <w:sz w:val="24"/>
          <w:lang w:eastAsia="hr-HR"/>
        </w:rPr>
        <w:t>istorazinskim</w:t>
      </w:r>
      <w:proofErr w:type="spellEnd"/>
      <w:r w:rsidRPr="00154FA3">
        <w:rPr>
          <w:rFonts w:eastAsia="Times New Roman" w:cstheme="minorHAnsi"/>
          <w:sz w:val="24"/>
          <w:lang w:eastAsia="hr-HR"/>
        </w:rPr>
        <w:t xml:space="preserve"> recenzijama koje ju kategoriziraju kao znanstveni rad</w:t>
      </w:r>
    </w:p>
    <w:p w:rsidR="00AA562A" w:rsidRPr="00154FA3" w:rsidRDefault="00AA562A" w:rsidP="00154FA3">
      <w:pPr>
        <w:pStyle w:val="Odlomakpopisa"/>
        <w:numPr>
          <w:ilvl w:val="0"/>
          <w:numId w:val="26"/>
        </w:numPr>
        <w:spacing w:after="120" w:line="240" w:lineRule="auto"/>
        <w:jc w:val="both"/>
        <w:rPr>
          <w:rFonts w:eastAsia="Times New Roman" w:cstheme="minorHAnsi"/>
          <w:sz w:val="24"/>
          <w:lang w:eastAsia="hr-HR"/>
        </w:rPr>
      </w:pPr>
      <w:r w:rsidRPr="00154FA3">
        <w:rPr>
          <w:rFonts w:eastAsia="Times New Roman" w:cstheme="minorHAnsi"/>
          <w:sz w:val="24"/>
          <w:lang w:eastAsia="hr-HR"/>
        </w:rPr>
        <w:t>Vrijednost ugovorenih nacionalnih kompetitivnih znanstvenih projekata</w:t>
      </w:r>
    </w:p>
    <w:p w:rsidR="00BA790F" w:rsidRPr="00154FA3" w:rsidRDefault="00BA790F" w:rsidP="00154FA3">
      <w:pPr>
        <w:pStyle w:val="Odlomakpopisa"/>
        <w:numPr>
          <w:ilvl w:val="0"/>
          <w:numId w:val="26"/>
        </w:numPr>
        <w:spacing w:after="120" w:line="240" w:lineRule="auto"/>
        <w:jc w:val="both"/>
        <w:rPr>
          <w:rFonts w:eastAsia="Times New Roman" w:cstheme="minorHAnsi"/>
          <w:sz w:val="24"/>
          <w:lang w:eastAsia="hr-HR"/>
        </w:rPr>
      </w:pPr>
      <w:r w:rsidRPr="00154FA3">
        <w:rPr>
          <w:rFonts w:eastAsia="Times New Roman" w:cstheme="minorHAnsi"/>
          <w:sz w:val="24"/>
          <w:lang w:eastAsia="hr-HR"/>
        </w:rPr>
        <w:t>Broj izdanih znanstvenih časopisa</w:t>
      </w:r>
    </w:p>
    <w:p w:rsidR="00BA790F" w:rsidRDefault="00BA790F" w:rsidP="00154FA3">
      <w:pPr>
        <w:pStyle w:val="Odlomakpopisa"/>
        <w:numPr>
          <w:ilvl w:val="0"/>
          <w:numId w:val="26"/>
        </w:numPr>
        <w:spacing w:after="120" w:line="240" w:lineRule="auto"/>
        <w:jc w:val="both"/>
        <w:rPr>
          <w:rFonts w:eastAsia="Times New Roman" w:cstheme="minorHAnsi"/>
          <w:sz w:val="24"/>
          <w:lang w:eastAsia="hr-HR"/>
        </w:rPr>
      </w:pPr>
      <w:r w:rsidRPr="00154FA3">
        <w:rPr>
          <w:rFonts w:eastAsia="Times New Roman" w:cstheme="minorHAnsi"/>
          <w:sz w:val="24"/>
          <w:lang w:eastAsia="hr-HR"/>
        </w:rPr>
        <w:t>Broj provedenih znanstvenih arheoloških istraživanja</w:t>
      </w:r>
    </w:p>
    <w:p w:rsidR="007F72B8" w:rsidRPr="00154FA3" w:rsidRDefault="007F72B8" w:rsidP="007F72B8">
      <w:pPr>
        <w:pStyle w:val="Odlomakpopisa"/>
        <w:spacing w:after="120" w:line="240" w:lineRule="auto"/>
        <w:jc w:val="both"/>
        <w:rPr>
          <w:rFonts w:eastAsia="Times New Roman" w:cstheme="minorHAnsi"/>
          <w:sz w:val="24"/>
          <w:lang w:eastAsia="hr-HR"/>
        </w:rPr>
      </w:pPr>
    </w:p>
    <w:p w:rsidR="005935E7" w:rsidRPr="005935E7" w:rsidRDefault="005935E7" w:rsidP="005935E7">
      <w:pPr>
        <w:rPr>
          <w:rFonts w:cstheme="minorHAnsi"/>
          <w:b/>
          <w:sz w:val="24"/>
          <w:szCs w:val="24"/>
          <w:u w:val="single"/>
        </w:rPr>
      </w:pPr>
      <w:r w:rsidRPr="005935E7">
        <w:rPr>
          <w:rFonts w:cstheme="minorHAnsi"/>
          <w:b/>
          <w:sz w:val="24"/>
          <w:szCs w:val="24"/>
          <w:u w:val="single"/>
        </w:rPr>
        <w:t>CILJEVI PROVEDBE PROGRAMA U 202</w:t>
      </w:r>
      <w:r w:rsidR="00EC7789">
        <w:rPr>
          <w:rFonts w:cstheme="minorHAnsi"/>
          <w:b/>
          <w:sz w:val="24"/>
          <w:szCs w:val="24"/>
          <w:u w:val="single"/>
        </w:rPr>
        <w:t>3</w:t>
      </w:r>
      <w:r w:rsidRPr="005935E7">
        <w:rPr>
          <w:rFonts w:cstheme="minorHAnsi"/>
          <w:b/>
          <w:sz w:val="24"/>
          <w:szCs w:val="24"/>
          <w:u w:val="single"/>
        </w:rPr>
        <w:t xml:space="preserve">. I POKAZATELJI USPJEŠNOSTI </w:t>
      </w:r>
    </w:p>
    <w:p w:rsidR="005935E7" w:rsidRPr="005935E7" w:rsidRDefault="005935E7" w:rsidP="005935E7">
      <w:pPr>
        <w:spacing w:line="240" w:lineRule="auto"/>
        <w:rPr>
          <w:rFonts w:cstheme="minorHAnsi"/>
          <w:b/>
          <w:sz w:val="28"/>
          <w:szCs w:val="24"/>
        </w:rPr>
      </w:pPr>
      <w:r w:rsidRPr="005935E7">
        <w:rPr>
          <w:rFonts w:cstheme="minorHAnsi"/>
          <w:b/>
          <w:sz w:val="24"/>
          <w:szCs w:val="24"/>
        </w:rPr>
        <w:t xml:space="preserve">CILJ 1.: </w:t>
      </w:r>
      <w:r w:rsidRPr="005935E7">
        <w:rPr>
          <w:rFonts w:cstheme="minorHAnsi"/>
          <w:b/>
          <w:sz w:val="24"/>
        </w:rPr>
        <w:t xml:space="preserve">Temeljna znanstvena </w:t>
      </w:r>
      <w:r w:rsidR="00154FA3">
        <w:rPr>
          <w:rFonts w:cstheme="minorHAnsi"/>
          <w:b/>
          <w:sz w:val="24"/>
        </w:rPr>
        <w:t xml:space="preserve">arheološka </w:t>
      </w:r>
      <w:r w:rsidRPr="005935E7">
        <w:rPr>
          <w:rFonts w:cstheme="minorHAnsi"/>
          <w:b/>
          <w:sz w:val="24"/>
        </w:rPr>
        <w:t>istraživanja</w:t>
      </w:r>
    </w:p>
    <w:p w:rsidR="005935E7" w:rsidRPr="00A1630B" w:rsidRDefault="005935E7" w:rsidP="00A1630B">
      <w:pPr>
        <w:spacing w:line="240" w:lineRule="auto"/>
        <w:jc w:val="both"/>
        <w:rPr>
          <w:rFonts w:cstheme="minorHAnsi"/>
          <w:sz w:val="20"/>
        </w:rPr>
      </w:pPr>
      <w:r w:rsidRPr="00A1630B">
        <w:rPr>
          <w:rFonts w:cstheme="minorHAnsi"/>
          <w:sz w:val="20"/>
        </w:rPr>
        <w:t>Poduzimanje temeljnih znanstvenih istraživanja u cilju prikupljanja novih spoznaja koje se neposredno koriste pri proširenju sveukupne slike o kulturno-povijesnom naslijeđu Hrvatske i susjednih regija. Nastavlja se s arheološkim istraživanjima na prostoru Republike Hrvatske, posebice u područjima koja su predmetom znanstvenih projekata, s ciljem intenziviranj</w:t>
      </w:r>
      <w:r w:rsidR="00BF1E91">
        <w:rPr>
          <w:rFonts w:cstheme="minorHAnsi"/>
          <w:sz w:val="20"/>
        </w:rPr>
        <w:t>a</w:t>
      </w:r>
      <w:r w:rsidRPr="00A1630B">
        <w:rPr>
          <w:rFonts w:cstheme="minorHAnsi"/>
          <w:sz w:val="20"/>
        </w:rPr>
        <w:t xml:space="preserve"> znanstvenoga rada na obradi prikupljene arheološke građe. </w:t>
      </w:r>
    </w:p>
    <w:p w:rsidR="005935E7" w:rsidRPr="005935E7" w:rsidRDefault="005935E7" w:rsidP="005935E7">
      <w:pPr>
        <w:rPr>
          <w:rFonts w:cstheme="minorHAnsi"/>
          <w:b/>
          <w:sz w:val="24"/>
          <w:szCs w:val="24"/>
        </w:rPr>
      </w:pPr>
      <w:r w:rsidRPr="005935E7">
        <w:rPr>
          <w:rFonts w:cstheme="minorHAnsi"/>
          <w:b/>
          <w:sz w:val="24"/>
          <w:szCs w:val="24"/>
        </w:rPr>
        <w:t>POKAZATELJI UČINKA</w:t>
      </w:r>
    </w:p>
    <w:tbl>
      <w:tblPr>
        <w:tblW w:w="7680" w:type="dxa"/>
        <w:tblInd w:w="93" w:type="dxa"/>
        <w:tblLook w:val="04A0" w:firstRow="1" w:lastRow="0" w:firstColumn="1" w:lastColumn="0" w:noHBand="0" w:noVBand="1"/>
      </w:tblPr>
      <w:tblGrid>
        <w:gridCol w:w="960"/>
        <w:gridCol w:w="978"/>
        <w:gridCol w:w="960"/>
        <w:gridCol w:w="960"/>
        <w:gridCol w:w="1018"/>
        <w:gridCol w:w="960"/>
        <w:gridCol w:w="960"/>
        <w:gridCol w:w="960"/>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95"/>
        </w:trPr>
        <w:tc>
          <w:tcPr>
            <w:tcW w:w="960" w:type="dxa"/>
            <w:tcBorders>
              <w:top w:val="nil"/>
              <w:left w:val="single" w:sz="4" w:space="0" w:color="auto"/>
              <w:bottom w:val="nil"/>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960" w:type="dxa"/>
            <w:tcBorders>
              <w:top w:val="nil"/>
              <w:left w:val="nil"/>
              <w:bottom w:val="nil"/>
              <w:right w:val="single" w:sz="4" w:space="0" w:color="auto"/>
            </w:tcBorders>
            <w:noWrap/>
            <w:vAlign w:val="bottom"/>
          </w:tcPr>
          <w:p w:rsidR="005935E7" w:rsidRPr="005935E7" w:rsidRDefault="005935E7">
            <w:pPr>
              <w:spacing w:after="0" w:line="240" w:lineRule="auto"/>
              <w:jc w:val="center"/>
              <w:rPr>
                <w:rFonts w:eastAsia="Times New Roman" w:cstheme="minorHAnsi"/>
                <w:color w:val="000000"/>
                <w:sz w:val="16"/>
                <w:szCs w:val="16"/>
              </w:rPr>
            </w:pPr>
          </w:p>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Temeljno znanstveno istraživanje</w:t>
            </w:r>
          </w:p>
        </w:tc>
        <w:tc>
          <w:tcPr>
            <w:tcW w:w="960" w:type="dxa"/>
            <w:tcBorders>
              <w:top w:val="nil"/>
              <w:left w:val="nil"/>
              <w:bottom w:val="nil"/>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Arheološko istraživanje</w:t>
            </w:r>
          </w:p>
        </w:tc>
        <w:tc>
          <w:tcPr>
            <w:tcW w:w="960" w:type="dxa"/>
            <w:tcBorders>
              <w:top w:val="nil"/>
              <w:left w:val="nil"/>
              <w:bottom w:val="nil"/>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Godišnja istraživanja</w:t>
            </w:r>
          </w:p>
        </w:tc>
        <w:tc>
          <w:tcPr>
            <w:tcW w:w="960" w:type="dxa"/>
            <w:tcBorders>
              <w:top w:val="nil"/>
              <w:left w:val="nil"/>
              <w:bottom w:val="nil"/>
              <w:right w:val="single" w:sz="4" w:space="0" w:color="auto"/>
            </w:tcBorders>
            <w:noWrap/>
            <w:vAlign w:val="bottom"/>
          </w:tcPr>
          <w:p w:rsidR="005935E7" w:rsidRPr="005935E7" w:rsidRDefault="005935E7">
            <w:pPr>
              <w:spacing w:after="0" w:line="240" w:lineRule="auto"/>
              <w:jc w:val="center"/>
              <w:rPr>
                <w:rFonts w:eastAsia="Times New Roman" w:cstheme="minorHAnsi"/>
                <w:color w:val="000000"/>
                <w:sz w:val="16"/>
                <w:szCs w:val="16"/>
              </w:rPr>
            </w:pPr>
          </w:p>
          <w:p w:rsidR="005935E7" w:rsidRPr="005935E7" w:rsidRDefault="005935E7">
            <w:pPr>
              <w:spacing w:after="0" w:line="240" w:lineRule="auto"/>
              <w:jc w:val="center"/>
              <w:rPr>
                <w:rFonts w:eastAsia="Times New Roman" w:cstheme="minorHAnsi"/>
                <w:color w:val="000000"/>
                <w:sz w:val="16"/>
                <w:szCs w:val="16"/>
              </w:rPr>
            </w:pPr>
            <w:proofErr w:type="spellStart"/>
            <w:r w:rsidRPr="005935E7">
              <w:rPr>
                <w:rFonts w:eastAsia="Times New Roman" w:cstheme="minorHAnsi"/>
                <w:color w:val="000000"/>
                <w:sz w:val="16"/>
                <w:szCs w:val="16"/>
              </w:rPr>
              <w:t>Anales</w:t>
            </w:r>
            <w:proofErr w:type="spellEnd"/>
            <w:r w:rsidRPr="005935E7">
              <w:rPr>
                <w:rFonts w:eastAsia="Times New Roman" w:cstheme="minorHAnsi"/>
                <w:color w:val="000000"/>
                <w:sz w:val="16"/>
                <w:szCs w:val="16"/>
              </w:rPr>
              <w:t xml:space="preserve"> Instituti </w:t>
            </w:r>
            <w:proofErr w:type="spellStart"/>
            <w:r w:rsidRPr="005935E7">
              <w:rPr>
                <w:rFonts w:eastAsia="Times New Roman" w:cstheme="minorHAnsi"/>
                <w:color w:val="000000"/>
                <w:sz w:val="16"/>
                <w:szCs w:val="16"/>
              </w:rPr>
              <w:t>Archeologici</w:t>
            </w:r>
            <w:proofErr w:type="spellEnd"/>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(AIA)</w:t>
            </w:r>
          </w:p>
        </w:tc>
        <w:tc>
          <w:tcPr>
            <w:tcW w:w="960" w:type="dxa"/>
            <w:tcBorders>
              <w:top w:val="nil"/>
              <w:left w:val="nil"/>
              <w:bottom w:val="nil"/>
              <w:right w:val="single" w:sz="4" w:space="0" w:color="auto"/>
            </w:tcBorders>
            <w:noWrap/>
            <w:vAlign w:val="bottom"/>
            <w:hideMark/>
          </w:tcPr>
          <w:p w:rsidR="005935E7" w:rsidRPr="005935E7" w:rsidRDefault="00A1630B" w:rsidP="00EC778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w:t>
            </w:r>
            <w:r w:rsidR="00EC7789">
              <w:rPr>
                <w:rFonts w:eastAsia="Times New Roman" w:cstheme="minorHAnsi"/>
                <w:color w:val="000000"/>
                <w:sz w:val="16"/>
                <w:szCs w:val="16"/>
              </w:rPr>
              <w:t>1</w:t>
            </w:r>
          </w:p>
        </w:tc>
        <w:tc>
          <w:tcPr>
            <w:tcW w:w="960" w:type="dxa"/>
            <w:tcBorders>
              <w:top w:val="nil"/>
              <w:left w:val="nil"/>
              <w:bottom w:val="nil"/>
              <w:right w:val="single" w:sz="4" w:space="0" w:color="auto"/>
            </w:tcBorders>
            <w:noWrap/>
            <w:vAlign w:val="bottom"/>
            <w:hideMark/>
          </w:tcPr>
          <w:p w:rsidR="005935E7" w:rsidRPr="005935E7" w:rsidRDefault="00A1630B" w:rsidP="00EC778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w:t>
            </w:r>
            <w:r w:rsidR="00EC7789">
              <w:rPr>
                <w:rFonts w:eastAsia="Times New Roman" w:cstheme="minorHAnsi"/>
                <w:color w:val="000000"/>
                <w:sz w:val="16"/>
                <w:szCs w:val="16"/>
              </w:rPr>
              <w:t>2</w:t>
            </w:r>
          </w:p>
        </w:tc>
        <w:tc>
          <w:tcPr>
            <w:tcW w:w="960" w:type="dxa"/>
            <w:tcBorders>
              <w:top w:val="nil"/>
              <w:left w:val="nil"/>
              <w:bottom w:val="nil"/>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12</w:t>
            </w:r>
          </w:p>
        </w:tc>
      </w:tr>
      <w:tr w:rsidR="005935E7" w:rsidRPr="005935E7" w:rsidTr="005935E7">
        <w:trPr>
          <w:trHeight w:val="80"/>
        </w:trPr>
        <w:tc>
          <w:tcPr>
            <w:tcW w:w="960" w:type="dxa"/>
            <w:tcBorders>
              <w:top w:val="nil"/>
              <w:left w:val="single" w:sz="4" w:space="0" w:color="auto"/>
              <w:bottom w:val="single" w:sz="4" w:space="0" w:color="auto"/>
              <w:right w:val="single" w:sz="4" w:space="0" w:color="auto"/>
            </w:tcBorders>
            <w:vAlign w:val="center"/>
          </w:tcPr>
          <w:p w:rsidR="005935E7" w:rsidRPr="005935E7" w:rsidRDefault="005935E7">
            <w:pPr>
              <w:spacing w:after="0" w:line="240" w:lineRule="auto"/>
              <w:rPr>
                <w:rFonts w:eastAsia="Times New Roman" w:cstheme="minorHAnsi"/>
                <w:color w:val="000000"/>
                <w:sz w:val="16"/>
                <w:szCs w:val="16"/>
              </w:rPr>
            </w:pPr>
          </w:p>
        </w:tc>
        <w:tc>
          <w:tcPr>
            <w:tcW w:w="960" w:type="dxa"/>
            <w:tcBorders>
              <w:top w:val="nil"/>
              <w:left w:val="nil"/>
              <w:bottom w:val="single" w:sz="4" w:space="0" w:color="auto"/>
              <w:right w:val="single" w:sz="4" w:space="0" w:color="auto"/>
            </w:tcBorders>
            <w:noWrap/>
            <w:vAlign w:val="bottom"/>
          </w:tcPr>
          <w:p w:rsidR="005935E7" w:rsidRPr="005935E7" w:rsidRDefault="005935E7">
            <w:pPr>
              <w:spacing w:after="0" w:line="240" w:lineRule="auto"/>
              <w:rPr>
                <w:rFonts w:eastAsia="Times New Roman" w:cstheme="minorHAnsi"/>
                <w:color w:val="000000"/>
                <w:sz w:val="16"/>
                <w:szCs w:val="16"/>
              </w:rPr>
            </w:pPr>
          </w:p>
        </w:tc>
        <w:tc>
          <w:tcPr>
            <w:tcW w:w="960" w:type="dxa"/>
            <w:tcBorders>
              <w:top w:val="nil"/>
              <w:left w:val="nil"/>
              <w:bottom w:val="single" w:sz="4" w:space="0" w:color="auto"/>
              <w:right w:val="single" w:sz="4" w:space="0" w:color="auto"/>
            </w:tcBorders>
            <w:noWrap/>
            <w:vAlign w:val="bottom"/>
          </w:tcPr>
          <w:p w:rsidR="005935E7" w:rsidRPr="005935E7" w:rsidRDefault="005935E7">
            <w:pPr>
              <w:spacing w:after="0" w:line="240" w:lineRule="auto"/>
              <w:rPr>
                <w:rFonts w:eastAsia="Times New Roman" w:cstheme="minorHAnsi"/>
                <w:color w:val="000000"/>
                <w:sz w:val="16"/>
                <w:szCs w:val="16"/>
              </w:rPr>
            </w:pPr>
          </w:p>
        </w:tc>
        <w:tc>
          <w:tcPr>
            <w:tcW w:w="960" w:type="dxa"/>
            <w:tcBorders>
              <w:top w:val="nil"/>
              <w:left w:val="nil"/>
              <w:bottom w:val="single" w:sz="4" w:space="0" w:color="auto"/>
              <w:right w:val="single" w:sz="4" w:space="0" w:color="auto"/>
            </w:tcBorders>
            <w:noWrap/>
            <w:vAlign w:val="bottom"/>
          </w:tcPr>
          <w:p w:rsidR="005935E7" w:rsidRPr="005935E7" w:rsidRDefault="005935E7">
            <w:pPr>
              <w:spacing w:after="0" w:line="240" w:lineRule="auto"/>
              <w:rPr>
                <w:rFonts w:eastAsia="Times New Roman" w:cstheme="minorHAnsi"/>
                <w:color w:val="000000"/>
                <w:sz w:val="16"/>
                <w:szCs w:val="16"/>
              </w:rPr>
            </w:pPr>
          </w:p>
        </w:tc>
        <w:tc>
          <w:tcPr>
            <w:tcW w:w="960" w:type="dxa"/>
            <w:tcBorders>
              <w:top w:val="nil"/>
              <w:left w:val="nil"/>
              <w:bottom w:val="single" w:sz="4" w:space="0" w:color="auto"/>
              <w:right w:val="single" w:sz="4" w:space="0" w:color="auto"/>
            </w:tcBorders>
            <w:noWrap/>
            <w:vAlign w:val="bottom"/>
          </w:tcPr>
          <w:p w:rsidR="005935E7" w:rsidRPr="005935E7" w:rsidRDefault="005935E7">
            <w:pPr>
              <w:spacing w:after="0" w:line="240" w:lineRule="auto"/>
              <w:rPr>
                <w:rFonts w:eastAsia="Times New Roman" w:cstheme="minorHAnsi"/>
                <w:color w:val="000000"/>
                <w:sz w:val="16"/>
                <w:szCs w:val="16"/>
              </w:rPr>
            </w:pPr>
          </w:p>
        </w:tc>
        <w:tc>
          <w:tcPr>
            <w:tcW w:w="960" w:type="dxa"/>
            <w:tcBorders>
              <w:top w:val="nil"/>
              <w:left w:val="nil"/>
              <w:bottom w:val="single" w:sz="4" w:space="0" w:color="auto"/>
              <w:right w:val="single" w:sz="4" w:space="0" w:color="auto"/>
            </w:tcBorders>
            <w:noWrap/>
            <w:vAlign w:val="bottom"/>
          </w:tcPr>
          <w:p w:rsidR="005935E7" w:rsidRPr="005935E7" w:rsidRDefault="005935E7">
            <w:pPr>
              <w:spacing w:after="0" w:line="240" w:lineRule="auto"/>
              <w:rPr>
                <w:rFonts w:eastAsia="Times New Roman" w:cstheme="minorHAnsi"/>
                <w:color w:val="000000"/>
                <w:sz w:val="16"/>
                <w:szCs w:val="16"/>
              </w:rPr>
            </w:pPr>
          </w:p>
        </w:tc>
        <w:tc>
          <w:tcPr>
            <w:tcW w:w="960" w:type="dxa"/>
            <w:tcBorders>
              <w:top w:val="nil"/>
              <w:left w:val="nil"/>
              <w:bottom w:val="single" w:sz="4" w:space="0" w:color="auto"/>
              <w:right w:val="single" w:sz="4" w:space="0" w:color="auto"/>
            </w:tcBorders>
            <w:noWrap/>
            <w:vAlign w:val="bottom"/>
          </w:tcPr>
          <w:p w:rsidR="005935E7" w:rsidRPr="005935E7" w:rsidRDefault="005935E7">
            <w:pPr>
              <w:spacing w:after="0" w:line="240" w:lineRule="auto"/>
              <w:rPr>
                <w:rFonts w:eastAsia="Times New Roman" w:cstheme="minorHAnsi"/>
                <w:color w:val="000000"/>
                <w:sz w:val="16"/>
                <w:szCs w:val="16"/>
              </w:rPr>
            </w:pPr>
          </w:p>
        </w:tc>
        <w:tc>
          <w:tcPr>
            <w:tcW w:w="960" w:type="dxa"/>
            <w:tcBorders>
              <w:top w:val="nil"/>
              <w:left w:val="nil"/>
              <w:bottom w:val="single" w:sz="4" w:space="0" w:color="auto"/>
              <w:right w:val="single" w:sz="4" w:space="0" w:color="auto"/>
            </w:tcBorders>
            <w:noWrap/>
            <w:vAlign w:val="bottom"/>
          </w:tcPr>
          <w:p w:rsidR="005935E7" w:rsidRPr="005935E7" w:rsidRDefault="005935E7">
            <w:pPr>
              <w:spacing w:after="0" w:line="240" w:lineRule="auto"/>
              <w:rPr>
                <w:rFonts w:eastAsia="Times New Roman" w:cstheme="minorHAnsi"/>
                <w:color w:val="000000"/>
                <w:sz w:val="16"/>
                <w:szCs w:val="16"/>
              </w:rPr>
            </w:pPr>
          </w:p>
        </w:tc>
      </w:tr>
    </w:tbl>
    <w:p w:rsidR="005935E7" w:rsidRPr="005935E7" w:rsidRDefault="005935E7" w:rsidP="005935E7">
      <w:pPr>
        <w:spacing w:line="240" w:lineRule="auto"/>
        <w:rPr>
          <w:rFonts w:eastAsiaTheme="minorEastAsia" w:cstheme="minorHAnsi"/>
          <w:b/>
          <w:sz w:val="24"/>
          <w:szCs w:val="24"/>
          <w:lang w:eastAsia="hr-HR"/>
        </w:rPr>
      </w:pPr>
    </w:p>
    <w:p w:rsidR="005935E7" w:rsidRPr="005935E7" w:rsidRDefault="005935E7" w:rsidP="005935E7">
      <w:pPr>
        <w:rPr>
          <w:rFonts w:cstheme="minorHAnsi"/>
          <w:b/>
          <w:sz w:val="24"/>
          <w:szCs w:val="24"/>
        </w:rPr>
      </w:pPr>
      <w:r w:rsidRPr="005935E7">
        <w:rPr>
          <w:rFonts w:cstheme="minorHAnsi"/>
          <w:b/>
          <w:sz w:val="24"/>
          <w:szCs w:val="24"/>
        </w:rPr>
        <w:t xml:space="preserve">CILJ 2.: </w:t>
      </w:r>
      <w:r w:rsidRPr="005935E7">
        <w:rPr>
          <w:rFonts w:cstheme="minorHAnsi"/>
          <w:b/>
          <w:sz w:val="24"/>
        </w:rPr>
        <w:t>Znanstvena valorizacija</w:t>
      </w:r>
    </w:p>
    <w:p w:rsidR="005935E7" w:rsidRPr="00A1630B" w:rsidRDefault="005935E7" w:rsidP="005935E7">
      <w:pPr>
        <w:spacing w:line="240" w:lineRule="auto"/>
        <w:jc w:val="both"/>
        <w:rPr>
          <w:rFonts w:cstheme="minorHAnsi"/>
          <w:sz w:val="20"/>
        </w:rPr>
      </w:pPr>
      <w:r w:rsidRPr="00A1630B">
        <w:rPr>
          <w:rFonts w:cstheme="minorHAnsi"/>
          <w:sz w:val="20"/>
        </w:rPr>
        <w:t>Znanstvena valorizacija temeljnih znanstvenih istraživanja primarno se ostvaruje putem obrade prikupljene pokretne arheološke građe. Predviđeno je poduzimanje interdisciplinarnih analiza prikupljenih arheoloških nalaza i uzoraka, što rezultira izradom relevantnih znanstvenih radova, zatim izlaganjima na znanstvenim skupovima u Republici Hrvatskoj i inozemstvu, organizacijom m</w:t>
      </w:r>
      <w:r w:rsidR="00BF1E91">
        <w:rPr>
          <w:rFonts w:cstheme="minorHAnsi"/>
          <w:sz w:val="20"/>
        </w:rPr>
        <w:t>eđunarodnih znanstvenih skupova</w:t>
      </w:r>
      <w:r w:rsidRPr="00A1630B">
        <w:rPr>
          <w:rFonts w:cstheme="minorHAnsi"/>
          <w:sz w:val="20"/>
        </w:rPr>
        <w:t>. Isto tako, intenzivirane su aktivnosti na popularizaciji znanosti kako bi se rezultati istraživanja približili široj javnosti koja pokazuje interes za arheologiju, posebno obrazovne ustanove.</w:t>
      </w:r>
    </w:p>
    <w:p w:rsidR="005935E7" w:rsidRPr="005935E7" w:rsidRDefault="005935E7" w:rsidP="005935E7">
      <w:pPr>
        <w:rPr>
          <w:rFonts w:cstheme="minorHAnsi"/>
          <w:b/>
          <w:sz w:val="24"/>
          <w:szCs w:val="24"/>
        </w:rPr>
      </w:pPr>
      <w:r w:rsidRPr="005935E7">
        <w:rPr>
          <w:rFonts w:cstheme="minorHAnsi"/>
          <w:b/>
          <w:sz w:val="24"/>
          <w:szCs w:val="24"/>
        </w:rPr>
        <w:t>POKAZATELJI UČINKA</w:t>
      </w:r>
    </w:p>
    <w:tbl>
      <w:tblPr>
        <w:tblW w:w="8237" w:type="dxa"/>
        <w:tblInd w:w="93" w:type="dxa"/>
        <w:tblLook w:val="04A0" w:firstRow="1" w:lastRow="0" w:firstColumn="1" w:lastColumn="0" w:noHBand="0" w:noVBand="1"/>
      </w:tblPr>
      <w:tblGrid>
        <w:gridCol w:w="960"/>
        <w:gridCol w:w="1186"/>
        <w:gridCol w:w="1130"/>
        <w:gridCol w:w="992"/>
        <w:gridCol w:w="992"/>
        <w:gridCol w:w="992"/>
        <w:gridCol w:w="993"/>
        <w:gridCol w:w="992"/>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w:t>
            </w:r>
          </w:p>
        </w:tc>
        <w:tc>
          <w:tcPr>
            <w:tcW w:w="1186"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113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92"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92"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92"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93"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92"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95"/>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1186"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Objava znanstvenih radova</w:t>
            </w:r>
          </w:p>
        </w:tc>
        <w:tc>
          <w:tcPr>
            <w:tcW w:w="113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Znanstveni, pregledni i stručni rad</w:t>
            </w:r>
          </w:p>
        </w:tc>
        <w:tc>
          <w:tcPr>
            <w:tcW w:w="992"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Radovi</w:t>
            </w:r>
          </w:p>
        </w:tc>
        <w:tc>
          <w:tcPr>
            <w:tcW w:w="992"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CROSBI</w:t>
            </w:r>
          </w:p>
        </w:tc>
        <w:tc>
          <w:tcPr>
            <w:tcW w:w="992" w:type="dxa"/>
            <w:tcBorders>
              <w:top w:val="nil"/>
              <w:left w:val="nil"/>
              <w:bottom w:val="single" w:sz="4" w:space="0" w:color="auto"/>
              <w:right w:val="single" w:sz="4" w:space="0" w:color="auto"/>
            </w:tcBorders>
            <w:noWrap/>
            <w:vAlign w:val="bottom"/>
            <w:hideMark/>
          </w:tcPr>
          <w:p w:rsidR="005935E7" w:rsidRPr="005935E7" w:rsidRDefault="00EC778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30</w:t>
            </w:r>
          </w:p>
        </w:tc>
        <w:tc>
          <w:tcPr>
            <w:tcW w:w="993"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30</w:t>
            </w:r>
          </w:p>
        </w:tc>
        <w:tc>
          <w:tcPr>
            <w:tcW w:w="992"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30</w:t>
            </w:r>
          </w:p>
        </w:tc>
      </w:tr>
      <w:tr w:rsidR="005935E7" w:rsidRPr="005935E7" w:rsidTr="005935E7">
        <w:trPr>
          <w:trHeight w:val="495"/>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1186"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Izlaganja na znanstvenim skupovima i okruglim stolovima</w:t>
            </w:r>
          </w:p>
        </w:tc>
        <w:tc>
          <w:tcPr>
            <w:tcW w:w="113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xml:space="preserve">Izlaganje </w:t>
            </w:r>
          </w:p>
        </w:tc>
        <w:tc>
          <w:tcPr>
            <w:tcW w:w="992"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Skup</w:t>
            </w:r>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Okrugli stol</w:t>
            </w:r>
          </w:p>
        </w:tc>
        <w:tc>
          <w:tcPr>
            <w:tcW w:w="992"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CROSBI</w:t>
            </w:r>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AIA</w:t>
            </w:r>
          </w:p>
        </w:tc>
        <w:tc>
          <w:tcPr>
            <w:tcW w:w="992" w:type="dxa"/>
            <w:tcBorders>
              <w:top w:val="nil"/>
              <w:left w:val="nil"/>
              <w:bottom w:val="single" w:sz="4" w:space="0" w:color="auto"/>
              <w:right w:val="single" w:sz="4" w:space="0" w:color="auto"/>
            </w:tcBorders>
            <w:noWrap/>
            <w:vAlign w:val="bottom"/>
            <w:hideMark/>
          </w:tcPr>
          <w:p w:rsidR="005935E7" w:rsidRPr="005935E7" w:rsidRDefault="00A1630B" w:rsidP="00EC778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w:t>
            </w:r>
            <w:r w:rsidR="00EC7789">
              <w:rPr>
                <w:rFonts w:eastAsia="Times New Roman" w:cstheme="minorHAnsi"/>
                <w:color w:val="000000"/>
                <w:sz w:val="16"/>
                <w:szCs w:val="16"/>
              </w:rPr>
              <w:t>6</w:t>
            </w:r>
          </w:p>
        </w:tc>
        <w:tc>
          <w:tcPr>
            <w:tcW w:w="993" w:type="dxa"/>
            <w:tcBorders>
              <w:top w:val="nil"/>
              <w:left w:val="nil"/>
              <w:bottom w:val="single" w:sz="4" w:space="0" w:color="auto"/>
              <w:right w:val="single" w:sz="4" w:space="0" w:color="auto"/>
            </w:tcBorders>
            <w:noWrap/>
            <w:vAlign w:val="bottom"/>
            <w:hideMark/>
          </w:tcPr>
          <w:p w:rsidR="005935E7" w:rsidRPr="005935E7" w:rsidRDefault="00A1630B" w:rsidP="00EC778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w:t>
            </w:r>
            <w:r w:rsidR="00EC7789">
              <w:rPr>
                <w:rFonts w:eastAsia="Times New Roman" w:cstheme="minorHAnsi"/>
                <w:color w:val="000000"/>
                <w:sz w:val="16"/>
                <w:szCs w:val="16"/>
              </w:rPr>
              <w:t>7</w:t>
            </w:r>
          </w:p>
        </w:tc>
        <w:tc>
          <w:tcPr>
            <w:tcW w:w="992"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18</w:t>
            </w:r>
          </w:p>
        </w:tc>
      </w:tr>
      <w:tr w:rsidR="005935E7" w:rsidRPr="005935E7" w:rsidTr="005935E7">
        <w:trPr>
          <w:trHeight w:val="495"/>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1186"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Organizacija</w:t>
            </w:r>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b/>
                <w:color w:val="000000"/>
                <w:sz w:val="16"/>
                <w:szCs w:val="16"/>
              </w:rPr>
              <w:t>znanstvenih skupova i okruglih stolova</w:t>
            </w:r>
          </w:p>
        </w:tc>
        <w:tc>
          <w:tcPr>
            <w:tcW w:w="113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Znanstveni skup i okrugli stol</w:t>
            </w:r>
          </w:p>
        </w:tc>
        <w:tc>
          <w:tcPr>
            <w:tcW w:w="992"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Skup</w:t>
            </w:r>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Okrugli stol</w:t>
            </w:r>
          </w:p>
        </w:tc>
        <w:tc>
          <w:tcPr>
            <w:tcW w:w="992"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CROSBI</w:t>
            </w:r>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AIA</w:t>
            </w:r>
          </w:p>
        </w:tc>
        <w:tc>
          <w:tcPr>
            <w:tcW w:w="992" w:type="dxa"/>
            <w:tcBorders>
              <w:top w:val="nil"/>
              <w:left w:val="nil"/>
              <w:bottom w:val="single" w:sz="4" w:space="0" w:color="auto"/>
              <w:right w:val="single" w:sz="4" w:space="0" w:color="auto"/>
            </w:tcBorders>
            <w:noWrap/>
            <w:vAlign w:val="bottom"/>
            <w:hideMark/>
          </w:tcPr>
          <w:p w:rsidR="005935E7" w:rsidRPr="005935E7" w:rsidRDefault="00EC778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93"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92"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r>
    </w:tbl>
    <w:p w:rsidR="005935E7" w:rsidRPr="005935E7" w:rsidRDefault="005935E7" w:rsidP="005935E7">
      <w:pPr>
        <w:spacing w:line="240" w:lineRule="auto"/>
        <w:rPr>
          <w:rFonts w:eastAsiaTheme="minorEastAsia" w:cstheme="minorHAnsi"/>
          <w:b/>
          <w:sz w:val="24"/>
          <w:szCs w:val="24"/>
          <w:lang w:eastAsia="hr-HR"/>
        </w:rPr>
      </w:pPr>
    </w:p>
    <w:tbl>
      <w:tblPr>
        <w:tblW w:w="7799" w:type="dxa"/>
        <w:tblInd w:w="93" w:type="dxa"/>
        <w:tblLook w:val="04A0" w:firstRow="1" w:lastRow="0" w:firstColumn="1" w:lastColumn="0" w:noHBand="0" w:noVBand="1"/>
      </w:tblPr>
      <w:tblGrid>
        <w:gridCol w:w="960"/>
        <w:gridCol w:w="1143"/>
        <w:gridCol w:w="1121"/>
        <w:gridCol w:w="1117"/>
        <w:gridCol w:w="960"/>
        <w:gridCol w:w="960"/>
        <w:gridCol w:w="960"/>
        <w:gridCol w:w="960"/>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lastRenderedPageBreak/>
              <w:t> </w:t>
            </w:r>
          </w:p>
        </w:tc>
        <w:tc>
          <w:tcPr>
            <w:tcW w:w="1079"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95"/>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1079"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Postavljanje tematskih izložbi i popularizacija znanosti</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Izložba i aktivnost popularizacije znanosti</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Izložba</w:t>
            </w:r>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Popularizacija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AIA</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3</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3</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w:t>
            </w:r>
          </w:p>
        </w:tc>
      </w:tr>
    </w:tbl>
    <w:p w:rsidR="005935E7" w:rsidRPr="005935E7" w:rsidRDefault="005935E7" w:rsidP="005935E7">
      <w:pPr>
        <w:rPr>
          <w:rFonts w:eastAsiaTheme="minorEastAsia" w:cstheme="minorHAnsi"/>
          <w:b/>
          <w:sz w:val="24"/>
          <w:szCs w:val="24"/>
          <w:lang w:eastAsia="hr-HR"/>
        </w:rPr>
      </w:pPr>
    </w:p>
    <w:p w:rsidR="005935E7" w:rsidRPr="005935E7" w:rsidRDefault="005935E7" w:rsidP="005935E7">
      <w:pPr>
        <w:rPr>
          <w:rFonts w:cstheme="minorHAnsi"/>
          <w:b/>
          <w:sz w:val="24"/>
          <w:szCs w:val="24"/>
        </w:rPr>
      </w:pPr>
      <w:r w:rsidRPr="005935E7">
        <w:rPr>
          <w:rFonts w:cstheme="minorHAnsi"/>
          <w:b/>
          <w:sz w:val="24"/>
          <w:szCs w:val="24"/>
        </w:rPr>
        <w:t>CILJ 3.: Nakladnička djelatnost</w:t>
      </w:r>
    </w:p>
    <w:p w:rsidR="005935E7" w:rsidRPr="00A1630B" w:rsidRDefault="005935E7" w:rsidP="005935E7">
      <w:pPr>
        <w:spacing w:line="240" w:lineRule="auto"/>
        <w:jc w:val="both"/>
        <w:rPr>
          <w:rFonts w:cstheme="minorHAnsi"/>
          <w:sz w:val="20"/>
        </w:rPr>
      </w:pPr>
      <w:r w:rsidRPr="00A1630B">
        <w:rPr>
          <w:rFonts w:cstheme="minorHAnsi"/>
          <w:sz w:val="20"/>
        </w:rPr>
        <w:t>Nakladnička djelatnost Instituta za arheologiju organizira se u svrhu kontinuiteta objavljivanja znanstvenih spoznaja i prib</w:t>
      </w:r>
      <w:r w:rsidR="00A1630B">
        <w:rPr>
          <w:rFonts w:cstheme="minorHAnsi"/>
          <w:sz w:val="20"/>
        </w:rPr>
        <w:t>ližavanja istih najšir</w:t>
      </w:r>
      <w:r w:rsidRPr="00A1630B">
        <w:rPr>
          <w:rFonts w:cstheme="minorHAnsi"/>
          <w:sz w:val="20"/>
        </w:rPr>
        <w:t>em krugu akademske zajednice, posebno inozemnoj. Predviđaju se novi naslovi monografskih djela i zbornika sa znanstvenih skupova, redovitost naklade časopisa te kataloga vezanih uz provedena temeljna arheološka istraživanja. Nakladništvo Instituta za arheologiju, kroz ostvarenu razmjenu izdanja s više od 3</w:t>
      </w:r>
      <w:r w:rsidR="007F72B8">
        <w:rPr>
          <w:rFonts w:cstheme="minorHAnsi"/>
          <w:sz w:val="20"/>
        </w:rPr>
        <w:t>5</w:t>
      </w:r>
      <w:r w:rsidRPr="00A1630B">
        <w:rPr>
          <w:rFonts w:cstheme="minorHAnsi"/>
          <w:sz w:val="20"/>
        </w:rPr>
        <w:t>0 ustanova u Republici Hrvatskoj i inozemstvu, prepoznato je kao vodeća razina znanstvene komunikacije na polju arheologije i srodnih disciplina.</w:t>
      </w:r>
    </w:p>
    <w:p w:rsidR="005935E7" w:rsidRPr="005935E7" w:rsidRDefault="005935E7" w:rsidP="005935E7">
      <w:pPr>
        <w:rPr>
          <w:rFonts w:cstheme="minorHAnsi"/>
          <w:b/>
          <w:sz w:val="24"/>
          <w:szCs w:val="24"/>
        </w:rPr>
      </w:pPr>
      <w:r w:rsidRPr="005935E7">
        <w:rPr>
          <w:rFonts w:cstheme="minorHAnsi"/>
          <w:b/>
          <w:sz w:val="24"/>
          <w:szCs w:val="24"/>
        </w:rPr>
        <w:t>POKAZATELJI UČINKA</w:t>
      </w:r>
    </w:p>
    <w:tbl>
      <w:tblPr>
        <w:tblW w:w="7680" w:type="dxa"/>
        <w:tblInd w:w="93" w:type="dxa"/>
        <w:tblLook w:val="04A0" w:firstRow="1" w:lastRow="0" w:firstColumn="1" w:lastColumn="0" w:noHBand="0" w:noVBand="1"/>
      </w:tblPr>
      <w:tblGrid>
        <w:gridCol w:w="960"/>
        <w:gridCol w:w="1067"/>
        <w:gridCol w:w="960"/>
        <w:gridCol w:w="960"/>
        <w:gridCol w:w="960"/>
        <w:gridCol w:w="960"/>
        <w:gridCol w:w="960"/>
        <w:gridCol w:w="960"/>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95"/>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Znanstvena monografija, katalog</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Knjiga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Naklada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CROSBI</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6</w:t>
            </w:r>
          </w:p>
        </w:tc>
      </w:tr>
    </w:tbl>
    <w:p w:rsidR="005935E7" w:rsidRPr="005935E7" w:rsidRDefault="005935E7" w:rsidP="005935E7">
      <w:pPr>
        <w:rPr>
          <w:rFonts w:eastAsiaTheme="minorEastAsia" w:cstheme="minorHAnsi"/>
          <w:b/>
          <w:sz w:val="24"/>
          <w:szCs w:val="24"/>
          <w:lang w:eastAsia="hr-HR"/>
        </w:rPr>
      </w:pPr>
    </w:p>
    <w:tbl>
      <w:tblPr>
        <w:tblW w:w="7864" w:type="dxa"/>
        <w:tblInd w:w="93" w:type="dxa"/>
        <w:tblLook w:val="04A0" w:firstRow="1" w:lastRow="0" w:firstColumn="1" w:lastColumn="0" w:noHBand="0" w:noVBand="1"/>
      </w:tblPr>
      <w:tblGrid>
        <w:gridCol w:w="960"/>
        <w:gridCol w:w="1123"/>
        <w:gridCol w:w="981"/>
        <w:gridCol w:w="960"/>
        <w:gridCol w:w="960"/>
        <w:gridCol w:w="960"/>
        <w:gridCol w:w="960"/>
        <w:gridCol w:w="960"/>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w:t>
            </w:r>
          </w:p>
        </w:tc>
        <w:tc>
          <w:tcPr>
            <w:tcW w:w="1123"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981"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95"/>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1123"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Publiciranje časopisa i zbornika</w:t>
            </w:r>
          </w:p>
        </w:tc>
        <w:tc>
          <w:tcPr>
            <w:tcW w:w="981"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Publikacije</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Naklada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CROSBI</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r>
    </w:tbl>
    <w:p w:rsidR="005935E7" w:rsidRPr="005935E7" w:rsidRDefault="005935E7" w:rsidP="005935E7">
      <w:pPr>
        <w:rPr>
          <w:rFonts w:eastAsiaTheme="minorEastAsia" w:cstheme="minorHAnsi"/>
          <w:b/>
          <w:sz w:val="24"/>
          <w:szCs w:val="24"/>
          <w:lang w:eastAsia="hr-HR"/>
        </w:rPr>
      </w:pPr>
    </w:p>
    <w:p w:rsidR="005935E7" w:rsidRPr="005935E7" w:rsidRDefault="005935E7" w:rsidP="00BF1E91">
      <w:pPr>
        <w:rPr>
          <w:rFonts w:cstheme="minorHAnsi"/>
          <w:b/>
          <w:sz w:val="24"/>
        </w:rPr>
      </w:pPr>
      <w:r w:rsidRPr="005935E7">
        <w:rPr>
          <w:rFonts w:cstheme="minorHAnsi"/>
          <w:b/>
          <w:sz w:val="24"/>
          <w:szCs w:val="24"/>
        </w:rPr>
        <w:t xml:space="preserve">CILJ </w:t>
      </w:r>
      <w:r w:rsidR="00A1630B">
        <w:rPr>
          <w:rFonts w:cstheme="minorHAnsi"/>
          <w:b/>
          <w:sz w:val="24"/>
          <w:szCs w:val="24"/>
        </w:rPr>
        <w:t>4</w:t>
      </w:r>
      <w:r w:rsidRPr="005935E7">
        <w:rPr>
          <w:rFonts w:cstheme="minorHAnsi"/>
          <w:b/>
          <w:sz w:val="24"/>
          <w:szCs w:val="24"/>
        </w:rPr>
        <w:t>.</w:t>
      </w:r>
      <w:r w:rsidR="00BF1E91">
        <w:rPr>
          <w:rFonts w:cstheme="minorHAnsi"/>
          <w:b/>
          <w:sz w:val="24"/>
          <w:szCs w:val="24"/>
        </w:rPr>
        <w:t xml:space="preserve">: </w:t>
      </w:r>
      <w:r w:rsidRPr="005935E7">
        <w:rPr>
          <w:rFonts w:cstheme="minorHAnsi"/>
          <w:b/>
          <w:sz w:val="24"/>
        </w:rPr>
        <w:t>Znanstvena napredovanja</w:t>
      </w:r>
    </w:p>
    <w:p w:rsidR="005935E7" w:rsidRPr="00A1630B" w:rsidRDefault="005935E7" w:rsidP="005935E7">
      <w:pPr>
        <w:spacing w:line="240" w:lineRule="auto"/>
        <w:jc w:val="both"/>
        <w:rPr>
          <w:rFonts w:cstheme="minorHAnsi"/>
          <w:sz w:val="20"/>
        </w:rPr>
      </w:pPr>
      <w:proofErr w:type="spellStart"/>
      <w:r w:rsidRPr="00A1630B">
        <w:rPr>
          <w:rFonts w:cstheme="minorHAnsi"/>
          <w:sz w:val="20"/>
        </w:rPr>
        <w:t>Noveliranje</w:t>
      </w:r>
      <w:proofErr w:type="spellEnd"/>
      <w:r w:rsidRPr="00A1630B">
        <w:rPr>
          <w:rFonts w:cstheme="minorHAnsi"/>
          <w:sz w:val="20"/>
        </w:rPr>
        <w:t xml:space="preserve"> znanstvenih kadrova uključivanjem znanstvenih novaka usmjerenih na interdisciplinarna istraživanja te briga za unapređivanje u viša znanstvena zvanja postojećih djelatnika Instituta, čime se osnažuje razvoj ljudskih potencijala Instituta.</w:t>
      </w:r>
    </w:p>
    <w:p w:rsidR="005935E7" w:rsidRPr="005935E7" w:rsidRDefault="005935E7" w:rsidP="005935E7">
      <w:pPr>
        <w:rPr>
          <w:rFonts w:cstheme="minorHAnsi"/>
          <w:b/>
          <w:sz w:val="24"/>
          <w:szCs w:val="24"/>
        </w:rPr>
      </w:pPr>
      <w:r w:rsidRPr="005935E7">
        <w:rPr>
          <w:rFonts w:cstheme="minorHAnsi"/>
          <w:b/>
          <w:sz w:val="24"/>
          <w:szCs w:val="24"/>
        </w:rPr>
        <w:t>POKAZATELJI UČINKA</w:t>
      </w:r>
    </w:p>
    <w:tbl>
      <w:tblPr>
        <w:tblW w:w="7680" w:type="dxa"/>
        <w:tblInd w:w="93" w:type="dxa"/>
        <w:tblLook w:val="04A0" w:firstRow="1" w:lastRow="0" w:firstColumn="1" w:lastColumn="0" w:noHBand="0" w:noVBand="1"/>
      </w:tblPr>
      <w:tblGrid>
        <w:gridCol w:w="960"/>
        <w:gridCol w:w="971"/>
        <w:gridCol w:w="1135"/>
        <w:gridCol w:w="960"/>
        <w:gridCol w:w="960"/>
        <w:gridCol w:w="960"/>
        <w:gridCol w:w="960"/>
        <w:gridCol w:w="960"/>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95"/>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učinka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Stjecanje doktorata i izbori u viša znanstvena zvanja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Napredovanje</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Doktorati</w:t>
            </w:r>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Izbori</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AIA</w:t>
            </w:r>
          </w:p>
        </w:tc>
        <w:tc>
          <w:tcPr>
            <w:tcW w:w="960" w:type="dxa"/>
            <w:tcBorders>
              <w:top w:val="nil"/>
              <w:left w:val="nil"/>
              <w:bottom w:val="single" w:sz="4" w:space="0" w:color="auto"/>
              <w:right w:val="single" w:sz="4" w:space="0" w:color="auto"/>
            </w:tcBorders>
            <w:noWrap/>
            <w:vAlign w:val="bottom"/>
            <w:hideMark/>
          </w:tcPr>
          <w:p w:rsidR="005935E7" w:rsidRPr="005935E7" w:rsidRDefault="00EC7789">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60" w:type="dxa"/>
            <w:tcBorders>
              <w:top w:val="nil"/>
              <w:left w:val="nil"/>
              <w:bottom w:val="single" w:sz="4" w:space="0" w:color="auto"/>
              <w:right w:val="single" w:sz="4" w:space="0" w:color="auto"/>
            </w:tcBorders>
            <w:noWrap/>
            <w:vAlign w:val="bottom"/>
            <w:hideMark/>
          </w:tcPr>
          <w:p w:rsidR="005935E7" w:rsidRPr="005935E7" w:rsidRDefault="00BF1E91">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60" w:type="dxa"/>
            <w:tcBorders>
              <w:top w:val="nil"/>
              <w:left w:val="nil"/>
              <w:bottom w:val="single" w:sz="4" w:space="0" w:color="auto"/>
              <w:right w:val="single" w:sz="4" w:space="0" w:color="auto"/>
            </w:tcBorders>
            <w:noWrap/>
            <w:vAlign w:val="bottom"/>
            <w:hideMark/>
          </w:tcPr>
          <w:p w:rsidR="005935E7" w:rsidRPr="005935E7" w:rsidRDefault="00BF1E91">
            <w:pPr>
              <w:spacing w:after="0" w:line="240" w:lineRule="auto"/>
              <w:jc w:val="center"/>
              <w:rPr>
                <w:rFonts w:eastAsia="Times New Roman" w:cstheme="minorHAnsi"/>
                <w:color w:val="000000"/>
                <w:sz w:val="16"/>
                <w:szCs w:val="16"/>
              </w:rPr>
            </w:pPr>
            <w:r>
              <w:rPr>
                <w:rFonts w:eastAsia="Times New Roman" w:cstheme="minorHAnsi"/>
                <w:color w:val="000000"/>
                <w:sz w:val="16"/>
                <w:szCs w:val="16"/>
              </w:rPr>
              <w:t>7</w:t>
            </w:r>
          </w:p>
        </w:tc>
      </w:tr>
    </w:tbl>
    <w:p w:rsidR="005935E7" w:rsidRPr="005935E7" w:rsidRDefault="005935E7" w:rsidP="005935E7">
      <w:pPr>
        <w:spacing w:after="0" w:line="240" w:lineRule="auto"/>
        <w:rPr>
          <w:rFonts w:eastAsiaTheme="minorEastAsia" w:cstheme="minorHAnsi"/>
          <w:b/>
          <w:bCs/>
          <w:sz w:val="24"/>
          <w:szCs w:val="24"/>
          <w:lang w:eastAsia="hr-HR"/>
        </w:rPr>
      </w:pPr>
    </w:p>
    <w:p w:rsidR="005935E7" w:rsidRPr="005935E7" w:rsidRDefault="005935E7" w:rsidP="005935E7">
      <w:pPr>
        <w:spacing w:line="240" w:lineRule="auto"/>
        <w:rPr>
          <w:rFonts w:cstheme="minorHAnsi"/>
          <w:b/>
          <w:bCs/>
          <w:sz w:val="24"/>
          <w:szCs w:val="24"/>
        </w:rPr>
      </w:pPr>
    </w:p>
    <w:p w:rsidR="005935E7" w:rsidRPr="005935E7" w:rsidRDefault="00BF1E91" w:rsidP="005935E7">
      <w:pPr>
        <w:rPr>
          <w:rFonts w:cstheme="minorHAnsi"/>
          <w:b/>
          <w:bCs/>
          <w:sz w:val="24"/>
          <w:szCs w:val="24"/>
          <w:u w:val="single"/>
        </w:rPr>
      </w:pPr>
      <w:r>
        <w:rPr>
          <w:rFonts w:cstheme="minorHAnsi"/>
          <w:b/>
          <w:bCs/>
          <w:sz w:val="24"/>
          <w:szCs w:val="24"/>
          <w:u w:val="single"/>
        </w:rPr>
        <w:t>CILJ 5.: Znanstveni kompetitivni projekti</w:t>
      </w:r>
      <w:r w:rsidR="005935E7" w:rsidRPr="005935E7">
        <w:rPr>
          <w:rFonts w:cstheme="minorHAnsi"/>
          <w:b/>
          <w:bCs/>
          <w:sz w:val="24"/>
          <w:szCs w:val="24"/>
          <w:u w:val="single"/>
        </w:rPr>
        <w:t xml:space="preserve"> </w:t>
      </w:r>
    </w:p>
    <w:p w:rsidR="005935E7" w:rsidRPr="00BF1E91" w:rsidRDefault="005935E7" w:rsidP="005935E7">
      <w:pPr>
        <w:spacing w:line="240" w:lineRule="auto"/>
        <w:jc w:val="both"/>
        <w:rPr>
          <w:rFonts w:cstheme="minorHAnsi"/>
          <w:sz w:val="20"/>
        </w:rPr>
      </w:pPr>
      <w:r w:rsidRPr="00BF1E91">
        <w:rPr>
          <w:rFonts w:cstheme="minorHAnsi"/>
          <w:sz w:val="20"/>
        </w:rPr>
        <w:t xml:space="preserve">U planskom razdoblju Institut za arheologiju dio potrebnih financijskih sredstava za provedbu temeljnih znanstvenih istraživanja i sudjelovanja na znanstvenim skupovima namjerava osigurati ostvarenjem znanstvenih projekata podupiranih od Hrvatske zaklade za znanost te fondova EU. Važan udio u financiranju temeljnih </w:t>
      </w:r>
      <w:r w:rsidRPr="00BF1E91">
        <w:rPr>
          <w:rFonts w:cstheme="minorHAnsi"/>
          <w:sz w:val="20"/>
        </w:rPr>
        <w:lastRenderedPageBreak/>
        <w:t>znanstvenih istraživanja te njihovo publiciranje predstavlja provedba Ugovornih projekata koji se ostvaruju s drugim proračunskim korisnicima (Ministarstvo kulture RH), zatim jedinic</w:t>
      </w:r>
      <w:r w:rsidR="00A1630B" w:rsidRPr="00BF1E91">
        <w:rPr>
          <w:rFonts w:cstheme="minorHAnsi"/>
          <w:sz w:val="20"/>
        </w:rPr>
        <w:t>a</w:t>
      </w:r>
      <w:r w:rsidRPr="00BF1E91">
        <w:rPr>
          <w:rFonts w:cstheme="minorHAnsi"/>
          <w:sz w:val="20"/>
        </w:rPr>
        <w:t>ma lokalne uprave i samouprave (županije, gradovi, općine) te ostalim zainteresiranim gospodarskim subjektima.</w:t>
      </w:r>
    </w:p>
    <w:p w:rsidR="005935E7" w:rsidRPr="00BF1E91" w:rsidRDefault="005935E7" w:rsidP="005935E7">
      <w:pPr>
        <w:spacing w:line="240" w:lineRule="auto"/>
        <w:jc w:val="both"/>
        <w:rPr>
          <w:rFonts w:cstheme="minorHAnsi"/>
          <w:sz w:val="20"/>
        </w:rPr>
      </w:pPr>
      <w:r w:rsidRPr="00BF1E91">
        <w:rPr>
          <w:rFonts w:cstheme="minorHAnsi"/>
          <w:sz w:val="20"/>
        </w:rPr>
        <w:t xml:space="preserve">Institut za arheologiju nastaviti će s provedbom znanstveno-istraživačkih djelatnosti koja počiva na dosadašnjim postignućima prepoznatim u inozemnim znanstvenim krugovima. Ostvaruje se usmjerenost prema temeljnim istraživanjima koja se neposredno uklapaju u ciljeve, strategiju i programe dugoročnog razvoja Instituta. </w:t>
      </w:r>
      <w:r w:rsidR="00BF1E91">
        <w:rPr>
          <w:rFonts w:cstheme="minorHAnsi"/>
          <w:sz w:val="20"/>
        </w:rPr>
        <w:t>P</w:t>
      </w:r>
      <w:r w:rsidRPr="00BF1E91">
        <w:rPr>
          <w:rFonts w:cstheme="minorHAnsi"/>
          <w:sz w:val="20"/>
        </w:rPr>
        <w:t>rovedba temeljnih istraživanja dugoročno pospješuje vidljivost te prepoznatljivost Instituta u nacionalnom i međunarodnom akademskom okruženju. Predviđeno je daljnje realiziranje nakladničke djelatnosti koja je stekla visoku razinu afirmacije u međunarodnim znanstvenim krugovima, o čemu svjedo</w:t>
      </w:r>
      <w:r w:rsidR="00A1630B" w:rsidRPr="00BF1E91">
        <w:rPr>
          <w:rFonts w:cstheme="minorHAnsi"/>
          <w:sz w:val="20"/>
        </w:rPr>
        <w:t>č</w:t>
      </w:r>
      <w:r w:rsidRPr="00BF1E91">
        <w:rPr>
          <w:rFonts w:cstheme="minorHAnsi"/>
          <w:sz w:val="20"/>
        </w:rPr>
        <w:t xml:space="preserve">i i povećani broj inozemnih znanstvenih radova objavljenih u edicijama Instituta za </w:t>
      </w:r>
      <w:r w:rsidR="00BF1E91">
        <w:rPr>
          <w:rFonts w:cstheme="minorHAnsi"/>
          <w:sz w:val="20"/>
        </w:rPr>
        <w:t>arheologiju</w:t>
      </w:r>
      <w:r w:rsidRPr="00BF1E91">
        <w:rPr>
          <w:rFonts w:cstheme="minorHAnsi"/>
          <w:sz w:val="20"/>
        </w:rPr>
        <w:t xml:space="preserve">. </w:t>
      </w:r>
    </w:p>
    <w:p w:rsidR="005935E7" w:rsidRPr="005935E7" w:rsidRDefault="005935E7" w:rsidP="005935E7">
      <w:pPr>
        <w:spacing w:line="240" w:lineRule="auto"/>
        <w:jc w:val="both"/>
        <w:rPr>
          <w:rFonts w:cstheme="minorHAnsi"/>
          <w:b/>
          <w:sz w:val="24"/>
        </w:rPr>
      </w:pPr>
      <w:r w:rsidRPr="005935E7">
        <w:rPr>
          <w:rFonts w:cstheme="minorHAnsi"/>
          <w:b/>
          <w:sz w:val="24"/>
        </w:rPr>
        <w:t>HRVATSKA ZAKLADA ZA ZNANOST I FONDOVI EU</w:t>
      </w:r>
    </w:p>
    <w:p w:rsidR="005935E7" w:rsidRPr="00BF1E91" w:rsidRDefault="005935E7" w:rsidP="005935E7">
      <w:pPr>
        <w:spacing w:line="240" w:lineRule="auto"/>
        <w:jc w:val="both"/>
        <w:rPr>
          <w:rFonts w:cstheme="minorHAnsi"/>
          <w:sz w:val="20"/>
        </w:rPr>
      </w:pPr>
      <w:r w:rsidRPr="00BF1E91">
        <w:rPr>
          <w:rFonts w:cstheme="minorHAnsi"/>
          <w:sz w:val="20"/>
        </w:rPr>
        <w:t xml:space="preserve">Provedbom Istraživačkih i </w:t>
      </w:r>
      <w:proofErr w:type="spellStart"/>
      <w:r w:rsidRPr="00BF1E91">
        <w:rPr>
          <w:rFonts w:cstheme="minorHAnsi"/>
          <w:sz w:val="20"/>
        </w:rPr>
        <w:t>Uspostavnih</w:t>
      </w:r>
      <w:proofErr w:type="spellEnd"/>
      <w:r w:rsidRPr="00BF1E91">
        <w:rPr>
          <w:rFonts w:cstheme="minorHAnsi"/>
          <w:sz w:val="20"/>
        </w:rPr>
        <w:t xml:space="preserve"> istraživačkih projekata, financiranih od Hrvatske zaklade za znanost, nastavljaju se temeljna znanstvena istraživanja koja su usmjerena na postavljene hipoteze koje se provjeravaju izvođenjem ciljanih arheoloških istraživanja te znanstvenom valorizacijom prikupljenih pokretnih arheoloških nalaza i uzoraka. Povoljan ishod istraživanja osigurava se interdisciplinarnim pristupima koji podrazumijevaju aktivnu suradnju sa srodnim tuzemnim kao i inozemnim znanstvenim ustanovama. Implementacija rezultata projekata u bitnoj mjeri obogaćuje trenutne znanstvene dosege hrvatske i europske arheološke kulturne slojevitosti, čime se ističe privlačnost Instituta za arheologiju kao partnerske ustanove za ostvarivanje međunarodne znanstvene suradnje s prestižnim inozemnim znanstvenim i sveučilišnim ustanovama.</w:t>
      </w:r>
    </w:p>
    <w:p w:rsidR="005935E7" w:rsidRPr="005935E7" w:rsidRDefault="005935E7" w:rsidP="005935E7">
      <w:pPr>
        <w:rPr>
          <w:rFonts w:cstheme="minorHAnsi"/>
          <w:b/>
          <w:sz w:val="24"/>
          <w:szCs w:val="24"/>
        </w:rPr>
      </w:pPr>
      <w:r w:rsidRPr="005935E7">
        <w:rPr>
          <w:rFonts w:cstheme="minorHAnsi"/>
          <w:b/>
          <w:sz w:val="24"/>
          <w:szCs w:val="24"/>
        </w:rPr>
        <w:t>POKAZATELJI REZULTATA</w:t>
      </w:r>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50"/>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rezultata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 xml:space="preserve">Istraživački i </w:t>
            </w:r>
            <w:proofErr w:type="spellStart"/>
            <w:r w:rsidRPr="005935E7">
              <w:rPr>
                <w:rFonts w:eastAsia="Times New Roman" w:cstheme="minorHAnsi"/>
                <w:b/>
                <w:color w:val="000000"/>
                <w:sz w:val="16"/>
                <w:szCs w:val="16"/>
              </w:rPr>
              <w:t>uspostavni</w:t>
            </w:r>
            <w:proofErr w:type="spellEnd"/>
            <w:r w:rsidRPr="005935E7">
              <w:rPr>
                <w:rFonts w:eastAsia="Times New Roman" w:cstheme="minorHAnsi"/>
                <w:b/>
                <w:color w:val="000000"/>
                <w:sz w:val="16"/>
                <w:szCs w:val="16"/>
              </w:rPr>
              <w:t xml:space="preserve"> projekti</w:t>
            </w:r>
          </w:p>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Ostali znanstveni projekti</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Projekti</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Prijava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proofErr w:type="spellStart"/>
            <w:r w:rsidRPr="005935E7">
              <w:rPr>
                <w:rFonts w:eastAsia="Times New Roman" w:cstheme="minorHAnsi"/>
                <w:color w:val="000000"/>
                <w:sz w:val="16"/>
                <w:szCs w:val="16"/>
              </w:rPr>
              <w:t>HrZZ</w:t>
            </w:r>
            <w:proofErr w:type="spellEnd"/>
          </w:p>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AIA</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6</w:t>
            </w:r>
          </w:p>
        </w:tc>
      </w:tr>
    </w:tbl>
    <w:p w:rsidR="005935E7" w:rsidRPr="005935E7" w:rsidRDefault="005935E7" w:rsidP="005935E7">
      <w:pPr>
        <w:spacing w:line="240" w:lineRule="auto"/>
        <w:jc w:val="both"/>
        <w:rPr>
          <w:rFonts w:eastAsiaTheme="minorEastAsia" w:cstheme="minorHAnsi"/>
          <w:b/>
          <w:sz w:val="24"/>
          <w:u w:val="single"/>
          <w:lang w:eastAsia="hr-HR"/>
        </w:rPr>
      </w:pPr>
    </w:p>
    <w:p w:rsidR="00BF1E91" w:rsidRDefault="00BF1E91" w:rsidP="005935E7">
      <w:pPr>
        <w:spacing w:line="240" w:lineRule="auto"/>
        <w:jc w:val="both"/>
        <w:rPr>
          <w:rFonts w:cstheme="minorHAnsi"/>
          <w:b/>
          <w:sz w:val="24"/>
        </w:rPr>
      </w:pPr>
      <w:r>
        <w:rPr>
          <w:rFonts w:cstheme="minorHAnsi"/>
          <w:b/>
          <w:sz w:val="24"/>
        </w:rPr>
        <w:t xml:space="preserve">CILJ 6:: Suradnja s </w:t>
      </w:r>
      <w:proofErr w:type="spellStart"/>
      <w:r>
        <w:rPr>
          <w:rFonts w:cstheme="minorHAnsi"/>
          <w:b/>
          <w:sz w:val="24"/>
        </w:rPr>
        <w:t>gospodrastvom</w:t>
      </w:r>
      <w:proofErr w:type="spellEnd"/>
    </w:p>
    <w:p w:rsidR="005935E7" w:rsidRPr="00BF1E91" w:rsidRDefault="005935E7" w:rsidP="005935E7">
      <w:pPr>
        <w:spacing w:line="240" w:lineRule="auto"/>
        <w:jc w:val="both"/>
        <w:rPr>
          <w:rFonts w:cstheme="minorHAnsi"/>
          <w:sz w:val="20"/>
        </w:rPr>
      </w:pPr>
      <w:r w:rsidRPr="00BF1E91">
        <w:rPr>
          <w:rFonts w:cstheme="minorHAnsi"/>
          <w:sz w:val="20"/>
        </w:rPr>
        <w:t>Institut za arheologiju uključen je već niz godina u sustavna arheološka istraživanja koja se zasnivaju na dugoročnim znanstvenim ciljevima, a promiču suradnju s gospodarstvom. Djelatnost Instituta za arheologiju usmjerena je prema davanju usluga, posebice kada je riječ o zaštitnim arheološkim istraživanjima koja naručuju gospodarski subjekti, a proizašle spoznaje vrijedan su doprinos znanstveno-istraživačkom radu. Istraživanja su popraćena i ekspertnim vrednovanjem izvorne građe u što je uključena dokumentacijska te interdisciplinarna obrada kao i izrada istraživačkih izvješća. Upravo iz provedenih zaštitnih</w:t>
      </w:r>
      <w:r w:rsidR="00BF1E91">
        <w:rPr>
          <w:rFonts w:cstheme="minorHAnsi"/>
          <w:sz w:val="20"/>
        </w:rPr>
        <w:t xml:space="preserve"> arheoloških istraživanja proiz</w:t>
      </w:r>
      <w:r w:rsidRPr="00BF1E91">
        <w:rPr>
          <w:rFonts w:cstheme="minorHAnsi"/>
          <w:sz w:val="20"/>
        </w:rPr>
        <w:t>laze znanstveni rezultati koji ukazuju na pozitivnu primjenu suradnje arheologije i gospodarstva.</w:t>
      </w:r>
    </w:p>
    <w:p w:rsidR="005935E7" w:rsidRPr="005935E7" w:rsidRDefault="005935E7" w:rsidP="005935E7">
      <w:pPr>
        <w:rPr>
          <w:rFonts w:cstheme="minorHAnsi"/>
          <w:b/>
          <w:sz w:val="24"/>
          <w:szCs w:val="24"/>
        </w:rPr>
      </w:pPr>
      <w:r w:rsidRPr="005935E7">
        <w:rPr>
          <w:rFonts w:cstheme="minorHAnsi"/>
          <w:b/>
          <w:sz w:val="24"/>
          <w:szCs w:val="24"/>
        </w:rPr>
        <w:t>POKAZATELJI REZULTATA</w:t>
      </w:r>
    </w:p>
    <w:tbl>
      <w:tblPr>
        <w:tblW w:w="7680" w:type="dxa"/>
        <w:tblInd w:w="93" w:type="dxa"/>
        <w:tblLook w:val="04A0" w:firstRow="1" w:lastRow="0" w:firstColumn="1" w:lastColumn="0" w:noHBand="0" w:noVBand="1"/>
      </w:tblPr>
      <w:tblGrid>
        <w:gridCol w:w="960"/>
        <w:gridCol w:w="974"/>
        <w:gridCol w:w="960"/>
        <w:gridCol w:w="1114"/>
        <w:gridCol w:w="960"/>
        <w:gridCol w:w="960"/>
        <w:gridCol w:w="960"/>
        <w:gridCol w:w="960"/>
      </w:tblGrid>
      <w:tr w:rsidR="005935E7" w:rsidRPr="005935E7" w:rsidTr="005935E7">
        <w:trPr>
          <w:trHeight w:val="675"/>
        </w:trPr>
        <w:tc>
          <w:tcPr>
            <w:tcW w:w="960" w:type="dxa"/>
            <w:tcBorders>
              <w:top w:val="single" w:sz="4" w:space="0" w:color="auto"/>
              <w:left w:val="single" w:sz="4" w:space="0" w:color="auto"/>
              <w:bottom w:val="single" w:sz="4" w:space="0" w:color="auto"/>
              <w:right w:val="single" w:sz="4" w:space="0" w:color="auto"/>
            </w:tcBorders>
            <w:noWrap/>
            <w:vAlign w:val="bottom"/>
            <w:hideMark/>
          </w:tcPr>
          <w:p w:rsidR="005935E7" w:rsidRPr="005935E7" w:rsidRDefault="005935E7">
            <w:pPr>
              <w:spacing w:after="0" w:line="240" w:lineRule="auto"/>
              <w:rPr>
                <w:rFonts w:eastAsia="Times New Roman" w:cstheme="minorHAnsi"/>
                <w:color w:val="000000"/>
                <w:sz w:val="16"/>
                <w:szCs w:val="16"/>
              </w:rPr>
            </w:pPr>
            <w:r w:rsidRPr="005935E7">
              <w:rPr>
                <w:rFonts w:eastAsia="Times New Roman" w:cstheme="minorHAnsi"/>
                <w:color w:val="000000"/>
                <w:sz w:val="16"/>
                <w:szCs w:val="16"/>
              </w:rPr>
              <w:t> </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Definicija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Jedinica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Polazna vrijednost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Izvor podataka</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3</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4</w:t>
            </w:r>
            <w:r w:rsidRPr="005935E7">
              <w:rPr>
                <w:rFonts w:eastAsia="Times New Roman" w:cstheme="minorHAnsi"/>
                <w:color w:val="000000"/>
                <w:sz w:val="16"/>
                <w:szCs w:val="16"/>
              </w:rPr>
              <w:t>.</w:t>
            </w:r>
          </w:p>
        </w:tc>
        <w:tc>
          <w:tcPr>
            <w:tcW w:w="960" w:type="dxa"/>
            <w:tcBorders>
              <w:top w:val="single" w:sz="4" w:space="0" w:color="auto"/>
              <w:left w:val="nil"/>
              <w:bottom w:val="single" w:sz="4" w:space="0" w:color="auto"/>
              <w:right w:val="single" w:sz="4" w:space="0" w:color="auto"/>
            </w:tcBorders>
            <w:vAlign w:val="center"/>
            <w:hideMark/>
          </w:tcPr>
          <w:p w:rsidR="005935E7" w:rsidRPr="005935E7" w:rsidRDefault="005935E7" w:rsidP="00EC7789">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Ciljana vrijednost 202</w:t>
            </w:r>
            <w:r w:rsidR="00EC7789">
              <w:rPr>
                <w:rFonts w:eastAsia="Times New Roman" w:cstheme="minorHAnsi"/>
                <w:color w:val="000000"/>
                <w:sz w:val="16"/>
                <w:szCs w:val="16"/>
              </w:rPr>
              <w:t>5</w:t>
            </w:r>
            <w:r w:rsidRPr="005935E7">
              <w:rPr>
                <w:rFonts w:eastAsia="Times New Roman" w:cstheme="minorHAnsi"/>
                <w:color w:val="000000"/>
                <w:sz w:val="16"/>
                <w:szCs w:val="16"/>
              </w:rPr>
              <w:t>.</w:t>
            </w:r>
          </w:p>
        </w:tc>
      </w:tr>
      <w:tr w:rsidR="005935E7" w:rsidRPr="005935E7" w:rsidTr="005935E7">
        <w:trPr>
          <w:trHeight w:val="450"/>
        </w:trPr>
        <w:tc>
          <w:tcPr>
            <w:tcW w:w="960" w:type="dxa"/>
            <w:tcBorders>
              <w:top w:val="nil"/>
              <w:left w:val="single" w:sz="4" w:space="0" w:color="auto"/>
              <w:bottom w:val="single" w:sz="4" w:space="0" w:color="auto"/>
              <w:right w:val="single" w:sz="4" w:space="0" w:color="auto"/>
            </w:tcBorders>
            <w:vAlign w:val="center"/>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Pokazatelj rezultata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b/>
                <w:color w:val="000000"/>
                <w:sz w:val="16"/>
                <w:szCs w:val="16"/>
              </w:rPr>
            </w:pPr>
            <w:r w:rsidRPr="005935E7">
              <w:rPr>
                <w:rFonts w:eastAsia="Times New Roman" w:cstheme="minorHAnsi"/>
                <w:b/>
                <w:color w:val="000000"/>
                <w:sz w:val="16"/>
                <w:szCs w:val="16"/>
              </w:rPr>
              <w:t xml:space="preserve">Provedba zaštitnih istraživanja </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Istraživanje</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Ugovor o istraživanjima</w:t>
            </w:r>
          </w:p>
        </w:tc>
        <w:tc>
          <w:tcPr>
            <w:tcW w:w="960" w:type="dxa"/>
            <w:tcBorders>
              <w:top w:val="nil"/>
              <w:left w:val="nil"/>
              <w:bottom w:val="single" w:sz="4" w:space="0" w:color="auto"/>
              <w:right w:val="single" w:sz="4" w:space="0" w:color="auto"/>
            </w:tcBorders>
            <w:noWrap/>
            <w:vAlign w:val="bottom"/>
            <w:hideMark/>
          </w:tcPr>
          <w:p w:rsidR="005935E7" w:rsidRPr="005935E7" w:rsidRDefault="005935E7">
            <w:pPr>
              <w:spacing w:after="0" w:line="240" w:lineRule="auto"/>
              <w:jc w:val="center"/>
              <w:rPr>
                <w:rFonts w:eastAsia="Times New Roman" w:cstheme="minorHAnsi"/>
                <w:color w:val="000000"/>
                <w:sz w:val="16"/>
                <w:szCs w:val="16"/>
              </w:rPr>
            </w:pPr>
            <w:r w:rsidRPr="005935E7">
              <w:rPr>
                <w:rFonts w:eastAsia="Times New Roman" w:cstheme="minorHAnsi"/>
                <w:color w:val="000000"/>
                <w:sz w:val="16"/>
                <w:szCs w:val="16"/>
              </w:rPr>
              <w:t>AIA</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4</w:t>
            </w:r>
          </w:p>
        </w:tc>
        <w:tc>
          <w:tcPr>
            <w:tcW w:w="960" w:type="dxa"/>
            <w:tcBorders>
              <w:top w:val="nil"/>
              <w:left w:val="nil"/>
              <w:bottom w:val="single" w:sz="4" w:space="0" w:color="auto"/>
              <w:right w:val="single" w:sz="4" w:space="0" w:color="auto"/>
            </w:tcBorders>
            <w:noWrap/>
            <w:vAlign w:val="bottom"/>
            <w:hideMark/>
          </w:tcPr>
          <w:p w:rsidR="005935E7" w:rsidRPr="005935E7" w:rsidRDefault="00A1630B">
            <w:pPr>
              <w:spacing w:after="0" w:line="240" w:lineRule="auto"/>
              <w:jc w:val="center"/>
              <w:rPr>
                <w:rFonts w:eastAsia="Times New Roman" w:cstheme="minorHAnsi"/>
                <w:color w:val="000000"/>
                <w:sz w:val="16"/>
                <w:szCs w:val="16"/>
              </w:rPr>
            </w:pPr>
            <w:r>
              <w:rPr>
                <w:rFonts w:eastAsia="Times New Roman" w:cstheme="minorHAnsi"/>
                <w:color w:val="000000"/>
                <w:sz w:val="16"/>
                <w:szCs w:val="16"/>
              </w:rPr>
              <w:t>5</w:t>
            </w:r>
          </w:p>
        </w:tc>
      </w:tr>
    </w:tbl>
    <w:p w:rsidR="00BF1E91" w:rsidRDefault="00BF1E91"/>
    <w:p w:rsidR="00BF1E91" w:rsidRDefault="00BF1E91">
      <w:r>
        <w:br w:type="page"/>
      </w:r>
    </w:p>
    <w:p w:rsidR="009F0B2F" w:rsidRPr="009F0B2F" w:rsidRDefault="009F0B2F" w:rsidP="00F21CC7">
      <w:pPr>
        <w:pBdr>
          <w:top w:val="dotted" w:sz="4" w:space="1" w:color="808080" w:themeColor="background1" w:themeShade="80"/>
          <w:bottom w:val="dotted" w:sz="4" w:space="1" w:color="808080" w:themeColor="background1" w:themeShade="80"/>
        </w:pBdr>
        <w:shd w:val="clear" w:color="auto" w:fill="D0CECE" w:themeFill="background2" w:themeFillShade="E6"/>
        <w:rPr>
          <w:b/>
          <w:sz w:val="28"/>
        </w:rPr>
      </w:pPr>
      <w:r>
        <w:rPr>
          <w:b/>
          <w:sz w:val="28"/>
        </w:rPr>
        <w:lastRenderedPageBreak/>
        <w:t>A622132 REDOVNA DJELATNOST JAVNIH INSTITUTA</w:t>
      </w:r>
      <w:r w:rsidRPr="00F21CC7">
        <w:rPr>
          <w:b/>
          <w:sz w:val="24"/>
          <w:szCs w:val="24"/>
        </w:rPr>
        <w:t xml:space="preserve"> (IZ EVIDENCIJSKIH PRIH</w:t>
      </w:r>
      <w:r w:rsidR="00884B10" w:rsidRPr="00F21CC7">
        <w:rPr>
          <w:b/>
          <w:sz w:val="24"/>
          <w:szCs w:val="24"/>
        </w:rPr>
        <w:t>O</w:t>
      </w:r>
      <w:r w:rsidRPr="00F21CC7">
        <w:rPr>
          <w:b/>
          <w:sz w:val="24"/>
          <w:szCs w:val="24"/>
        </w:rPr>
        <w:t>DA</w:t>
      </w:r>
      <w:r w:rsidR="00BA790F">
        <w:rPr>
          <w:b/>
          <w:sz w:val="24"/>
          <w:szCs w:val="24"/>
        </w:rPr>
        <w:t xml:space="preserve"> – IZVOR 31</w:t>
      </w:r>
      <w:r w:rsidRPr="00F21CC7">
        <w:rPr>
          <w:b/>
          <w:sz w:val="24"/>
          <w:szCs w:val="24"/>
        </w:rPr>
        <w:t>)</w:t>
      </w:r>
      <w:r>
        <w:rPr>
          <w:b/>
          <w:color w:val="FF0000"/>
          <w:sz w:val="28"/>
        </w:rPr>
        <w:t xml:space="preserve"> </w:t>
      </w:r>
    </w:p>
    <w:p w:rsidR="009F0B2F" w:rsidRPr="009D005B" w:rsidRDefault="009F0B2F" w:rsidP="009F0B2F">
      <w:pPr>
        <w:spacing w:after="0"/>
        <w:jc w:val="both"/>
        <w:rPr>
          <w:i/>
        </w:rPr>
      </w:pPr>
      <w:r w:rsidRPr="009D005B">
        <w:rPr>
          <w:i/>
        </w:rPr>
        <w:t>Zakonske i druge pravne osnove</w:t>
      </w:r>
    </w:p>
    <w:p w:rsidR="00BA790F" w:rsidRPr="005935E7" w:rsidRDefault="00BA790F"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znanstvenoj djelatnosti i visokom obrazovanju </w:t>
      </w:r>
    </w:p>
    <w:p w:rsidR="00BA790F" w:rsidRPr="005935E7" w:rsidRDefault="00BA790F"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ustanovama </w:t>
      </w:r>
    </w:p>
    <w:p w:rsidR="00BA790F" w:rsidRPr="005935E7" w:rsidRDefault="00BA790F" w:rsidP="005935E7">
      <w:pPr>
        <w:pStyle w:val="StandardWeb"/>
        <w:spacing w:before="0" w:beforeAutospacing="0" w:after="0" w:afterAutospacing="0" w:line="276" w:lineRule="auto"/>
        <w:ind w:left="567"/>
        <w:jc w:val="both"/>
        <w:rPr>
          <w:rFonts w:asciiTheme="minorHAnsi" w:hAnsiTheme="minorHAnsi" w:cstheme="minorHAnsi"/>
          <w:i/>
          <w:sz w:val="32"/>
          <w:szCs w:val="24"/>
          <w:lang w:val="hr-HR"/>
        </w:rPr>
      </w:pPr>
      <w:r w:rsidRPr="005935E7">
        <w:rPr>
          <w:rStyle w:val="Istaknuto"/>
          <w:rFonts w:asciiTheme="minorHAnsi" w:hAnsiTheme="minorHAnsi" w:cstheme="minorHAnsi"/>
          <w:i w:val="0"/>
          <w:sz w:val="24"/>
          <w:lang w:val="hr-HR"/>
        </w:rPr>
        <w:t>- Zakon o</w:t>
      </w:r>
      <w:r w:rsidRPr="005935E7">
        <w:rPr>
          <w:rFonts w:asciiTheme="minorHAnsi" w:hAnsiTheme="minorHAnsi" w:cstheme="minorHAnsi"/>
          <w:i/>
          <w:sz w:val="24"/>
          <w:lang w:val="hr-HR"/>
        </w:rPr>
        <w:t xml:space="preserve"> </w:t>
      </w:r>
      <w:r w:rsidRPr="005935E7">
        <w:rPr>
          <w:rFonts w:asciiTheme="minorHAnsi" w:hAnsiTheme="minorHAnsi" w:cstheme="minorHAnsi"/>
          <w:sz w:val="24"/>
          <w:lang w:val="hr-HR"/>
        </w:rPr>
        <w:t>zaštiti i</w:t>
      </w:r>
      <w:r w:rsidRPr="005935E7">
        <w:rPr>
          <w:rFonts w:asciiTheme="minorHAnsi" w:hAnsiTheme="minorHAnsi" w:cstheme="minorHAnsi"/>
          <w:i/>
          <w:sz w:val="24"/>
          <w:lang w:val="hr-HR"/>
        </w:rPr>
        <w:t xml:space="preserve"> </w:t>
      </w:r>
      <w:r w:rsidRPr="005935E7">
        <w:rPr>
          <w:rStyle w:val="Istaknuto"/>
          <w:rFonts w:asciiTheme="minorHAnsi" w:hAnsiTheme="minorHAnsi" w:cstheme="minorHAnsi"/>
          <w:i w:val="0"/>
          <w:sz w:val="24"/>
          <w:lang w:val="hr-HR"/>
        </w:rPr>
        <w:t>očuvanju</w:t>
      </w:r>
      <w:r w:rsidRPr="005935E7">
        <w:rPr>
          <w:rFonts w:asciiTheme="minorHAnsi" w:hAnsiTheme="minorHAnsi" w:cstheme="minorHAnsi"/>
          <w:i/>
          <w:sz w:val="24"/>
          <w:lang w:val="hr-HR"/>
        </w:rPr>
        <w:t xml:space="preserve"> </w:t>
      </w:r>
      <w:r w:rsidRPr="005935E7">
        <w:rPr>
          <w:rFonts w:asciiTheme="minorHAnsi" w:hAnsiTheme="minorHAnsi" w:cstheme="minorHAnsi"/>
          <w:sz w:val="24"/>
          <w:lang w:val="hr-HR"/>
        </w:rPr>
        <w:t>kulturnih dobara</w:t>
      </w:r>
    </w:p>
    <w:p w:rsidR="00BA790F" w:rsidRPr="005935E7" w:rsidRDefault="00BA790F"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Statut Instituta za arheologiju</w:t>
      </w:r>
    </w:p>
    <w:p w:rsidR="00BA790F" w:rsidRPr="005935E7" w:rsidRDefault="00BA790F"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Strateški program znanstvenog istraživanja Instituta za arheologiju za razdoblje 2020-2025</w:t>
      </w:r>
    </w:p>
    <w:p w:rsidR="00BA790F" w:rsidRPr="005935E7" w:rsidRDefault="00BA790F" w:rsidP="00BA790F">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Pravilnik o arheološkim istraživanjima</w:t>
      </w:r>
    </w:p>
    <w:p w:rsidR="00BA790F" w:rsidRPr="00AE1DA9" w:rsidRDefault="00BA790F" w:rsidP="00BA790F">
      <w:pPr>
        <w:pStyle w:val="StandardWeb"/>
        <w:spacing w:before="0" w:beforeAutospacing="0" w:after="0" w:afterAutospacing="0" w:line="276" w:lineRule="auto"/>
        <w:ind w:left="567"/>
        <w:jc w:val="both"/>
        <w:rPr>
          <w:rFonts w:ascii="Times New Roman" w:hAnsi="Times New Roman"/>
          <w:sz w:val="24"/>
          <w:szCs w:val="24"/>
          <w:lang w:val="hr-HR"/>
        </w:rPr>
      </w:pPr>
    </w:p>
    <w:tbl>
      <w:tblPr>
        <w:tblStyle w:val="Reetkatablice"/>
        <w:tblW w:w="0" w:type="auto"/>
        <w:tblLook w:val="04A0" w:firstRow="1" w:lastRow="0" w:firstColumn="1" w:lastColumn="0" w:noHBand="0" w:noVBand="1"/>
      </w:tblPr>
      <w:tblGrid>
        <w:gridCol w:w="1419"/>
        <w:gridCol w:w="1340"/>
        <w:gridCol w:w="1326"/>
        <w:gridCol w:w="1327"/>
        <w:gridCol w:w="1327"/>
        <w:gridCol w:w="1327"/>
        <w:gridCol w:w="996"/>
      </w:tblGrid>
      <w:tr w:rsidR="000A464D" w:rsidRPr="009D005B" w:rsidTr="00F21CC7">
        <w:tc>
          <w:tcPr>
            <w:tcW w:w="1371" w:type="dxa"/>
            <w:shd w:val="clear" w:color="auto" w:fill="D0CECE" w:themeFill="background2" w:themeFillShade="E6"/>
          </w:tcPr>
          <w:p w:rsidR="009F0B2F" w:rsidRPr="009D005B" w:rsidRDefault="009F0B2F" w:rsidP="009F0B2F">
            <w:pPr>
              <w:jc w:val="both"/>
            </w:pPr>
          </w:p>
          <w:p w:rsidR="009F0B2F" w:rsidRPr="009D005B" w:rsidRDefault="009F0B2F" w:rsidP="009F0B2F">
            <w:pPr>
              <w:jc w:val="both"/>
            </w:pPr>
          </w:p>
        </w:tc>
        <w:tc>
          <w:tcPr>
            <w:tcW w:w="1381" w:type="dxa"/>
            <w:shd w:val="clear" w:color="auto" w:fill="D0CECE" w:themeFill="background2" w:themeFillShade="E6"/>
            <w:vAlign w:val="center"/>
          </w:tcPr>
          <w:p w:rsidR="009F0B2F" w:rsidRPr="009D005B" w:rsidRDefault="009F0B2F" w:rsidP="00EC7789">
            <w:pPr>
              <w:jc w:val="center"/>
            </w:pPr>
            <w:r w:rsidRPr="009D005B">
              <w:t>Izvršenje 20</w:t>
            </w:r>
            <w:r w:rsidR="005935E7">
              <w:t>2</w:t>
            </w:r>
            <w:r w:rsidR="00EC7789">
              <w:t>1</w:t>
            </w:r>
            <w:r w:rsidRPr="009D005B">
              <w:t>.</w:t>
            </w:r>
          </w:p>
        </w:tc>
        <w:tc>
          <w:tcPr>
            <w:tcW w:w="1381" w:type="dxa"/>
            <w:shd w:val="clear" w:color="auto" w:fill="D0CECE" w:themeFill="background2" w:themeFillShade="E6"/>
            <w:vAlign w:val="center"/>
          </w:tcPr>
          <w:p w:rsidR="009F0B2F" w:rsidRPr="009D005B" w:rsidRDefault="009F0B2F" w:rsidP="00EC7789">
            <w:pPr>
              <w:jc w:val="center"/>
            </w:pPr>
            <w:r w:rsidRPr="009D005B">
              <w:t>Plan 20</w:t>
            </w:r>
            <w:r w:rsidR="00B13415">
              <w:t>2</w:t>
            </w:r>
            <w:r w:rsidR="00EC7789">
              <w:t>2</w:t>
            </w:r>
            <w:r w:rsidRPr="009D005B">
              <w:t>.</w:t>
            </w:r>
          </w:p>
        </w:tc>
        <w:tc>
          <w:tcPr>
            <w:tcW w:w="1381" w:type="dxa"/>
            <w:shd w:val="clear" w:color="auto" w:fill="D0CECE" w:themeFill="background2" w:themeFillShade="E6"/>
            <w:vAlign w:val="center"/>
          </w:tcPr>
          <w:p w:rsidR="009F0B2F" w:rsidRPr="009D005B" w:rsidRDefault="009F0B2F" w:rsidP="00EC7789">
            <w:pPr>
              <w:jc w:val="center"/>
            </w:pPr>
            <w:r w:rsidRPr="009D005B">
              <w:t>Plan 202</w:t>
            </w:r>
            <w:r w:rsidR="00EC7789">
              <w:t>3</w:t>
            </w:r>
            <w:r w:rsidRPr="009D005B">
              <w:t>.</w:t>
            </w:r>
          </w:p>
        </w:tc>
        <w:tc>
          <w:tcPr>
            <w:tcW w:w="1381" w:type="dxa"/>
            <w:shd w:val="clear" w:color="auto" w:fill="D0CECE" w:themeFill="background2" w:themeFillShade="E6"/>
            <w:vAlign w:val="center"/>
          </w:tcPr>
          <w:p w:rsidR="009F0B2F" w:rsidRPr="009D005B" w:rsidRDefault="009F0B2F" w:rsidP="00EC7789">
            <w:pPr>
              <w:jc w:val="center"/>
            </w:pPr>
            <w:r w:rsidRPr="009D005B">
              <w:t>Plan 202</w:t>
            </w:r>
            <w:r w:rsidR="00EC7789">
              <w:t>4</w:t>
            </w:r>
            <w:r w:rsidRPr="009D005B">
              <w:t>.</w:t>
            </w:r>
          </w:p>
        </w:tc>
        <w:tc>
          <w:tcPr>
            <w:tcW w:w="1381" w:type="dxa"/>
            <w:shd w:val="clear" w:color="auto" w:fill="D0CECE" w:themeFill="background2" w:themeFillShade="E6"/>
            <w:vAlign w:val="center"/>
          </w:tcPr>
          <w:p w:rsidR="009F0B2F" w:rsidRPr="009D005B" w:rsidRDefault="009F0B2F" w:rsidP="00EC7789">
            <w:pPr>
              <w:jc w:val="center"/>
            </w:pPr>
            <w:r w:rsidRPr="009D005B">
              <w:t>Plan 202</w:t>
            </w:r>
            <w:r w:rsidR="00EC7789">
              <w:t>5</w:t>
            </w:r>
            <w:r w:rsidRPr="009D005B">
              <w:t>.</w:t>
            </w:r>
          </w:p>
        </w:tc>
        <w:tc>
          <w:tcPr>
            <w:tcW w:w="1012" w:type="dxa"/>
            <w:shd w:val="clear" w:color="auto" w:fill="D0CECE" w:themeFill="background2" w:themeFillShade="E6"/>
            <w:vAlign w:val="center"/>
          </w:tcPr>
          <w:p w:rsidR="009F0B2F" w:rsidRPr="009D005B" w:rsidRDefault="009F0B2F" w:rsidP="000A464D">
            <w:pPr>
              <w:jc w:val="center"/>
            </w:pPr>
            <w:r w:rsidRPr="009D005B">
              <w:t>Indeks 2</w:t>
            </w:r>
            <w:r w:rsidR="000A464D">
              <w:t>3</w:t>
            </w:r>
            <w:r w:rsidRPr="009D005B">
              <w:t>./</w:t>
            </w:r>
            <w:r w:rsidR="00B13415">
              <w:t>2</w:t>
            </w:r>
            <w:r w:rsidR="000A464D">
              <w:t>2</w:t>
            </w:r>
            <w:r w:rsidRPr="009D005B">
              <w:t>.</w:t>
            </w:r>
          </w:p>
        </w:tc>
      </w:tr>
      <w:tr w:rsidR="000A464D" w:rsidRPr="00933F04" w:rsidTr="00F21CC7">
        <w:tc>
          <w:tcPr>
            <w:tcW w:w="1371" w:type="dxa"/>
          </w:tcPr>
          <w:p w:rsidR="009F0B2F" w:rsidRPr="00933F04" w:rsidRDefault="006D1ED3" w:rsidP="009F0B2F">
            <w:pPr>
              <w:rPr>
                <w:sz w:val="20"/>
                <w:szCs w:val="20"/>
              </w:rPr>
            </w:pPr>
            <w:r w:rsidRPr="006D1ED3">
              <w:rPr>
                <w:sz w:val="20"/>
                <w:szCs w:val="20"/>
              </w:rPr>
              <w:t>A622132 REDOVNA DJELATNOST JAVNIH INSTITUTA (IZ EVIDENCIJSKIH PRIHODA)</w:t>
            </w:r>
          </w:p>
        </w:tc>
        <w:tc>
          <w:tcPr>
            <w:tcW w:w="1381" w:type="dxa"/>
          </w:tcPr>
          <w:p w:rsidR="009F0B2F" w:rsidRPr="005D3AE2" w:rsidRDefault="000A464D" w:rsidP="00BA790F">
            <w:pPr>
              <w:jc w:val="center"/>
              <w:rPr>
                <w:sz w:val="20"/>
                <w:szCs w:val="20"/>
              </w:rPr>
            </w:pPr>
            <w:r w:rsidRPr="005D3AE2">
              <w:rPr>
                <w:sz w:val="20"/>
                <w:szCs w:val="20"/>
              </w:rPr>
              <w:t xml:space="preserve">101.563 </w:t>
            </w:r>
            <w:proofErr w:type="spellStart"/>
            <w:r w:rsidRPr="005D3AE2">
              <w:rPr>
                <w:sz w:val="20"/>
                <w:szCs w:val="20"/>
              </w:rPr>
              <w:t>eur</w:t>
            </w:r>
            <w:proofErr w:type="spellEnd"/>
          </w:p>
        </w:tc>
        <w:tc>
          <w:tcPr>
            <w:tcW w:w="1381" w:type="dxa"/>
            <w:shd w:val="clear" w:color="auto" w:fill="FFFFFF" w:themeFill="background1"/>
          </w:tcPr>
          <w:p w:rsidR="009F0B2F" w:rsidRPr="005D3AE2" w:rsidRDefault="000A464D" w:rsidP="00BA790F">
            <w:pPr>
              <w:jc w:val="center"/>
              <w:rPr>
                <w:sz w:val="20"/>
                <w:szCs w:val="20"/>
              </w:rPr>
            </w:pPr>
            <w:r w:rsidRPr="005D3AE2">
              <w:rPr>
                <w:sz w:val="20"/>
                <w:szCs w:val="20"/>
              </w:rPr>
              <w:t xml:space="preserve">229.163 </w:t>
            </w:r>
            <w:proofErr w:type="spellStart"/>
            <w:r w:rsidRPr="005D3AE2">
              <w:rPr>
                <w:sz w:val="20"/>
                <w:szCs w:val="20"/>
              </w:rPr>
              <w:t>eur</w:t>
            </w:r>
            <w:proofErr w:type="spellEnd"/>
          </w:p>
        </w:tc>
        <w:tc>
          <w:tcPr>
            <w:tcW w:w="1381" w:type="dxa"/>
          </w:tcPr>
          <w:p w:rsidR="009A5105" w:rsidRPr="005D3AE2" w:rsidRDefault="000A464D" w:rsidP="00BA790F">
            <w:pPr>
              <w:jc w:val="center"/>
              <w:rPr>
                <w:sz w:val="20"/>
                <w:szCs w:val="20"/>
              </w:rPr>
            </w:pPr>
            <w:r w:rsidRPr="005D3AE2">
              <w:rPr>
                <w:sz w:val="20"/>
                <w:szCs w:val="20"/>
              </w:rPr>
              <w:t xml:space="preserve">186.451 </w:t>
            </w:r>
            <w:proofErr w:type="spellStart"/>
            <w:r w:rsidRPr="005D3AE2">
              <w:rPr>
                <w:sz w:val="20"/>
                <w:szCs w:val="20"/>
              </w:rPr>
              <w:t>eur</w:t>
            </w:r>
            <w:proofErr w:type="spellEnd"/>
          </w:p>
        </w:tc>
        <w:tc>
          <w:tcPr>
            <w:tcW w:w="1381" w:type="dxa"/>
          </w:tcPr>
          <w:p w:rsidR="00897696" w:rsidRPr="005D3AE2" w:rsidRDefault="000A464D" w:rsidP="00BA790F">
            <w:pPr>
              <w:jc w:val="center"/>
              <w:rPr>
                <w:sz w:val="20"/>
                <w:szCs w:val="20"/>
              </w:rPr>
            </w:pPr>
            <w:r w:rsidRPr="005D3AE2">
              <w:rPr>
                <w:sz w:val="20"/>
                <w:szCs w:val="20"/>
              </w:rPr>
              <w:t xml:space="preserve">124.528 </w:t>
            </w:r>
            <w:proofErr w:type="spellStart"/>
            <w:r w:rsidRPr="005D3AE2">
              <w:rPr>
                <w:sz w:val="20"/>
                <w:szCs w:val="20"/>
              </w:rPr>
              <w:t>eur</w:t>
            </w:r>
            <w:proofErr w:type="spellEnd"/>
          </w:p>
        </w:tc>
        <w:tc>
          <w:tcPr>
            <w:tcW w:w="1381" w:type="dxa"/>
          </w:tcPr>
          <w:p w:rsidR="00897696" w:rsidRPr="005D3AE2" w:rsidRDefault="000A464D" w:rsidP="000A464D">
            <w:pPr>
              <w:jc w:val="center"/>
              <w:rPr>
                <w:sz w:val="20"/>
                <w:szCs w:val="20"/>
              </w:rPr>
            </w:pPr>
            <w:r w:rsidRPr="005D3AE2">
              <w:rPr>
                <w:sz w:val="20"/>
                <w:szCs w:val="20"/>
              </w:rPr>
              <w:t xml:space="preserve">124.528 </w:t>
            </w:r>
            <w:proofErr w:type="spellStart"/>
            <w:r w:rsidRPr="005D3AE2">
              <w:rPr>
                <w:sz w:val="20"/>
                <w:szCs w:val="20"/>
              </w:rPr>
              <w:t>eur</w:t>
            </w:r>
            <w:proofErr w:type="spellEnd"/>
          </w:p>
        </w:tc>
        <w:tc>
          <w:tcPr>
            <w:tcW w:w="1012" w:type="dxa"/>
          </w:tcPr>
          <w:p w:rsidR="009F0B2F" w:rsidRPr="005D3AE2" w:rsidRDefault="000A464D" w:rsidP="00BA790F">
            <w:pPr>
              <w:jc w:val="center"/>
              <w:rPr>
                <w:sz w:val="20"/>
                <w:szCs w:val="20"/>
              </w:rPr>
            </w:pPr>
            <w:r w:rsidRPr="005D3AE2">
              <w:rPr>
                <w:sz w:val="20"/>
                <w:szCs w:val="20"/>
              </w:rPr>
              <w:t>81</w:t>
            </w:r>
          </w:p>
        </w:tc>
      </w:tr>
    </w:tbl>
    <w:p w:rsidR="009F0B2F" w:rsidRPr="009D005B" w:rsidRDefault="009F0B2F" w:rsidP="009F0B2F">
      <w:pPr>
        <w:spacing w:before="240"/>
        <w:jc w:val="both"/>
        <w:rPr>
          <w:i/>
        </w:rPr>
      </w:pPr>
      <w:r w:rsidRPr="009D005B">
        <w:rPr>
          <w:i/>
        </w:rPr>
        <w:t xml:space="preserve">Ova aktivnost sastoji se od sljedećih elemenata/ </w:t>
      </w:r>
      <w:proofErr w:type="spellStart"/>
      <w:r w:rsidRPr="009D005B">
        <w:rPr>
          <w:i/>
        </w:rPr>
        <w:t>podaktivnosti</w:t>
      </w:r>
      <w:proofErr w:type="spellEnd"/>
      <w:r w:rsidRPr="009D005B">
        <w:rPr>
          <w:i/>
        </w:rPr>
        <w:t>:</w:t>
      </w:r>
    </w:p>
    <w:p w:rsidR="00371CA9" w:rsidRPr="009662D6" w:rsidRDefault="00371CA9" w:rsidP="00371CA9">
      <w:pPr>
        <w:pStyle w:val="Odlomakpopisa"/>
        <w:numPr>
          <w:ilvl w:val="0"/>
          <w:numId w:val="18"/>
        </w:numPr>
        <w:jc w:val="both"/>
        <w:rPr>
          <w:i/>
        </w:rPr>
      </w:pPr>
      <w:r w:rsidRPr="009662D6">
        <w:rPr>
          <w:i/>
        </w:rPr>
        <w:t xml:space="preserve">Redovna djelatnost instituta </w:t>
      </w:r>
    </w:p>
    <w:p w:rsidR="00371CA9" w:rsidRPr="009662D6" w:rsidRDefault="00371CA9" w:rsidP="00371CA9">
      <w:pPr>
        <w:pStyle w:val="Odlomakpopisa"/>
        <w:numPr>
          <w:ilvl w:val="0"/>
          <w:numId w:val="18"/>
        </w:numPr>
        <w:jc w:val="both"/>
        <w:rPr>
          <w:i/>
        </w:rPr>
      </w:pPr>
      <w:r w:rsidRPr="009662D6">
        <w:rPr>
          <w:i/>
        </w:rPr>
        <w:t xml:space="preserve">Izravna kapitalna ulaganja </w:t>
      </w:r>
    </w:p>
    <w:p w:rsidR="009F0B2F" w:rsidRPr="009D005B" w:rsidRDefault="009F0B2F" w:rsidP="009F0B2F">
      <w:pPr>
        <w:jc w:val="both"/>
        <w:rPr>
          <w:i/>
        </w:rPr>
      </w:pPr>
      <w:r w:rsidRPr="009D005B">
        <w:rPr>
          <w:i/>
        </w:rPr>
        <w:t xml:space="preserve">Ova aktivnost provodi se svake godine.  </w:t>
      </w:r>
    </w:p>
    <w:p w:rsidR="009F0B2F" w:rsidRPr="00E30020" w:rsidRDefault="009F0B2F" w:rsidP="009F0B2F">
      <w:pPr>
        <w:spacing w:after="0"/>
        <w:jc w:val="both"/>
        <w:rPr>
          <w:i/>
        </w:rPr>
      </w:pPr>
      <w:r w:rsidRPr="00E30020">
        <w:rPr>
          <w:i/>
        </w:rPr>
        <w:t>Izračun financijskog plana</w:t>
      </w:r>
      <w:r w:rsidR="00FE3DAD" w:rsidRPr="00E30020">
        <w:rPr>
          <w:i/>
        </w:rPr>
        <w:t xml:space="preserve"> 202</w:t>
      </w:r>
      <w:r w:rsidR="00EC7789">
        <w:rPr>
          <w:i/>
        </w:rPr>
        <w:t>3</w:t>
      </w:r>
      <w:r w:rsidRPr="00E30020">
        <w:rPr>
          <w:i/>
        </w:rPr>
        <w:t>:</w:t>
      </w:r>
    </w:p>
    <w:p w:rsidR="00371CA9" w:rsidRPr="005D3AE2" w:rsidRDefault="00371CA9" w:rsidP="00371CA9">
      <w:pPr>
        <w:pStyle w:val="Odlomakpopisa"/>
        <w:numPr>
          <w:ilvl w:val="0"/>
          <w:numId w:val="19"/>
        </w:numPr>
        <w:jc w:val="both"/>
        <w:rPr>
          <w:i/>
        </w:rPr>
      </w:pPr>
      <w:r w:rsidRPr="00E30020">
        <w:rPr>
          <w:i/>
        </w:rPr>
        <w:t xml:space="preserve">Redovna djelatnost instituta – </w:t>
      </w:r>
      <w:r w:rsidR="000A464D" w:rsidRPr="005D3AE2">
        <w:rPr>
          <w:i/>
        </w:rPr>
        <w:t xml:space="preserve">161.142 </w:t>
      </w:r>
      <w:proofErr w:type="spellStart"/>
      <w:r w:rsidR="000A464D" w:rsidRPr="005D3AE2">
        <w:rPr>
          <w:i/>
        </w:rPr>
        <w:t>eur</w:t>
      </w:r>
      <w:proofErr w:type="spellEnd"/>
    </w:p>
    <w:p w:rsidR="00CF46CE" w:rsidRPr="005D3AE2" w:rsidRDefault="00127AA0" w:rsidP="00AE20FB">
      <w:pPr>
        <w:pStyle w:val="Odlomakpopisa"/>
        <w:rPr>
          <w:rFonts w:eastAsia="Times New Roman" w:cs="Arial"/>
        </w:rPr>
      </w:pPr>
      <w:r w:rsidRPr="005D3AE2">
        <w:rPr>
          <w:rFonts w:eastAsia="Times New Roman" w:cs="Arial"/>
        </w:rPr>
        <w:t xml:space="preserve">Dominantni izvor financiranja je 31 </w:t>
      </w:r>
    </w:p>
    <w:p w:rsidR="00AE20FB" w:rsidRPr="005D3AE2" w:rsidRDefault="00AE20FB" w:rsidP="005935E7">
      <w:pPr>
        <w:pStyle w:val="Odlomakpopisa"/>
        <w:jc w:val="both"/>
      </w:pPr>
      <w:r w:rsidRPr="005D3AE2">
        <w:t xml:space="preserve">Zbog nedostatnog financiranja od strane MZO, Institut kontinuirano izdvaja određena sredstva za znanstvenoistraživačku djelatnost iz vlastitih izvora. </w:t>
      </w:r>
    </w:p>
    <w:p w:rsidR="0058155A" w:rsidRPr="005D3AE2" w:rsidRDefault="0058155A" w:rsidP="00AE20FB">
      <w:pPr>
        <w:pStyle w:val="Odlomakpopisa"/>
        <w:rPr>
          <w:rFonts w:eastAsia="Times New Roman" w:cs="Arial"/>
        </w:rPr>
      </w:pPr>
    </w:p>
    <w:p w:rsidR="00371CA9" w:rsidRPr="005D3AE2" w:rsidRDefault="00371CA9" w:rsidP="00371CA9">
      <w:pPr>
        <w:pStyle w:val="Odlomakpopisa"/>
        <w:numPr>
          <w:ilvl w:val="0"/>
          <w:numId w:val="19"/>
        </w:numPr>
        <w:jc w:val="both"/>
        <w:rPr>
          <w:i/>
        </w:rPr>
      </w:pPr>
      <w:r w:rsidRPr="005D3AE2">
        <w:rPr>
          <w:i/>
        </w:rPr>
        <w:t xml:space="preserve">Izravna kapitalna ulaganja – </w:t>
      </w:r>
      <w:r w:rsidR="000A464D" w:rsidRPr="005D3AE2">
        <w:rPr>
          <w:i/>
        </w:rPr>
        <w:t xml:space="preserve">25.309 </w:t>
      </w:r>
      <w:proofErr w:type="spellStart"/>
      <w:r w:rsidR="000A464D" w:rsidRPr="005D3AE2">
        <w:rPr>
          <w:i/>
        </w:rPr>
        <w:t>eur</w:t>
      </w:r>
      <w:proofErr w:type="spellEnd"/>
    </w:p>
    <w:p w:rsidR="00AE20FB" w:rsidRPr="00E30020" w:rsidRDefault="00AE20FB" w:rsidP="00AE20FB">
      <w:pPr>
        <w:pStyle w:val="Odlomakpopisa"/>
        <w:jc w:val="both"/>
      </w:pPr>
      <w:r w:rsidRPr="00E30020">
        <w:t xml:space="preserve">Planirana nabava opreme, </w:t>
      </w:r>
      <w:r w:rsidR="007F72B8">
        <w:t>prema procijenjenoj vrijednosti.</w:t>
      </w:r>
    </w:p>
    <w:p w:rsidR="00127AA0" w:rsidRPr="00E30020" w:rsidRDefault="00127AA0" w:rsidP="00AE20FB">
      <w:pPr>
        <w:pStyle w:val="Odlomakpopisa"/>
        <w:jc w:val="both"/>
      </w:pPr>
      <w:r w:rsidRPr="00E30020">
        <w:t>Izvor financiranja 31</w:t>
      </w:r>
    </w:p>
    <w:p w:rsidR="00AE20FB" w:rsidRPr="00E30020" w:rsidRDefault="00AE20FB" w:rsidP="00AE20FB">
      <w:pPr>
        <w:pStyle w:val="Odlomakpopisa"/>
        <w:jc w:val="both"/>
        <w:rPr>
          <w:i/>
        </w:rPr>
      </w:pPr>
    </w:p>
    <w:p w:rsidR="00884B10" w:rsidRPr="009D005B" w:rsidRDefault="00884B10" w:rsidP="00884B10">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A622125 EU PROJEKTI JAVNIH INSTITUTA (IZ EVIDENCIJSKIH PRIHODA)</w:t>
      </w:r>
    </w:p>
    <w:p w:rsidR="00884B10" w:rsidRPr="009D005B" w:rsidRDefault="00884B10" w:rsidP="00884B10">
      <w:pPr>
        <w:spacing w:after="0"/>
        <w:jc w:val="both"/>
        <w:rPr>
          <w:i/>
        </w:rPr>
      </w:pPr>
      <w:r w:rsidRPr="009D005B">
        <w:rPr>
          <w:i/>
        </w:rPr>
        <w:t>Zakonske i druge pravne osnove</w:t>
      </w:r>
    </w:p>
    <w:p w:rsidR="005935E7" w:rsidRPr="005935E7" w:rsidRDefault="005935E7"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znanstvenoj djelatnosti i visokom obrazovanju </w:t>
      </w:r>
    </w:p>
    <w:p w:rsidR="005935E7" w:rsidRPr="005935E7" w:rsidRDefault="005935E7"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 xml:space="preserve">Zakon o ustanovama </w:t>
      </w:r>
    </w:p>
    <w:p w:rsidR="005935E7" w:rsidRPr="005935E7" w:rsidRDefault="005935E7" w:rsidP="005935E7">
      <w:pPr>
        <w:pStyle w:val="StandardWeb"/>
        <w:spacing w:before="0" w:beforeAutospacing="0" w:after="0" w:afterAutospacing="0" w:line="276" w:lineRule="auto"/>
        <w:ind w:left="567"/>
        <w:jc w:val="both"/>
        <w:rPr>
          <w:rFonts w:asciiTheme="minorHAnsi" w:hAnsiTheme="minorHAnsi" w:cstheme="minorHAnsi"/>
          <w:i/>
          <w:sz w:val="32"/>
          <w:szCs w:val="24"/>
          <w:lang w:val="hr-HR"/>
        </w:rPr>
      </w:pPr>
      <w:r w:rsidRPr="005935E7">
        <w:rPr>
          <w:rStyle w:val="Istaknuto"/>
          <w:rFonts w:asciiTheme="minorHAnsi" w:hAnsiTheme="minorHAnsi" w:cstheme="minorHAnsi"/>
          <w:i w:val="0"/>
          <w:sz w:val="24"/>
          <w:lang w:val="hr-HR"/>
        </w:rPr>
        <w:t>- Zakon o</w:t>
      </w:r>
      <w:r w:rsidRPr="005935E7">
        <w:rPr>
          <w:rFonts w:asciiTheme="minorHAnsi" w:hAnsiTheme="minorHAnsi" w:cstheme="minorHAnsi"/>
          <w:i/>
          <w:sz w:val="24"/>
          <w:lang w:val="hr-HR"/>
        </w:rPr>
        <w:t xml:space="preserve"> </w:t>
      </w:r>
      <w:r w:rsidRPr="005935E7">
        <w:rPr>
          <w:rFonts w:asciiTheme="minorHAnsi" w:hAnsiTheme="minorHAnsi" w:cstheme="minorHAnsi"/>
          <w:sz w:val="24"/>
          <w:lang w:val="hr-HR"/>
        </w:rPr>
        <w:t>zaštiti i</w:t>
      </w:r>
      <w:r w:rsidRPr="005935E7">
        <w:rPr>
          <w:rFonts w:asciiTheme="minorHAnsi" w:hAnsiTheme="minorHAnsi" w:cstheme="minorHAnsi"/>
          <w:i/>
          <w:sz w:val="24"/>
          <w:lang w:val="hr-HR"/>
        </w:rPr>
        <w:t xml:space="preserve"> </w:t>
      </w:r>
      <w:r w:rsidRPr="005935E7">
        <w:rPr>
          <w:rStyle w:val="Istaknuto"/>
          <w:rFonts w:asciiTheme="minorHAnsi" w:hAnsiTheme="minorHAnsi" w:cstheme="minorHAnsi"/>
          <w:i w:val="0"/>
          <w:sz w:val="24"/>
          <w:lang w:val="hr-HR"/>
        </w:rPr>
        <w:t>očuvanju</w:t>
      </w:r>
      <w:r w:rsidRPr="005935E7">
        <w:rPr>
          <w:rFonts w:asciiTheme="minorHAnsi" w:hAnsiTheme="minorHAnsi" w:cstheme="minorHAnsi"/>
          <w:i/>
          <w:sz w:val="24"/>
          <w:lang w:val="hr-HR"/>
        </w:rPr>
        <w:t xml:space="preserve"> </w:t>
      </w:r>
      <w:r w:rsidRPr="005935E7">
        <w:rPr>
          <w:rFonts w:asciiTheme="minorHAnsi" w:hAnsiTheme="minorHAnsi" w:cstheme="minorHAnsi"/>
          <w:sz w:val="24"/>
          <w:lang w:val="hr-HR"/>
        </w:rPr>
        <w:t>kulturnih dobara</w:t>
      </w:r>
    </w:p>
    <w:p w:rsidR="005935E7" w:rsidRPr="005935E7" w:rsidRDefault="005935E7"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Statut Instituta za arheologiju</w:t>
      </w:r>
    </w:p>
    <w:p w:rsidR="005935E7" w:rsidRPr="005935E7" w:rsidRDefault="005935E7"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Ugovor o programskom financiranju javnih znanstvenih instituta</w:t>
      </w:r>
    </w:p>
    <w:p w:rsidR="005935E7" w:rsidRPr="005935E7" w:rsidRDefault="005935E7"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lastRenderedPageBreak/>
        <w:t>Strateški program znanstvenog istraživanja Instituta za arheologiju za razdoblje 2020-2025</w:t>
      </w:r>
    </w:p>
    <w:p w:rsidR="005935E7" w:rsidRPr="005935E7" w:rsidRDefault="005935E7" w:rsidP="005935E7">
      <w:pPr>
        <w:pStyle w:val="StandardWeb"/>
        <w:numPr>
          <w:ilvl w:val="0"/>
          <w:numId w:val="23"/>
        </w:numPr>
        <w:spacing w:before="0" w:beforeAutospacing="0" w:after="0" w:afterAutospacing="0" w:line="276" w:lineRule="auto"/>
        <w:ind w:left="567" w:firstLine="0"/>
        <w:jc w:val="both"/>
        <w:rPr>
          <w:rFonts w:asciiTheme="minorHAnsi" w:hAnsiTheme="minorHAnsi" w:cstheme="minorHAnsi"/>
          <w:sz w:val="24"/>
          <w:szCs w:val="24"/>
          <w:lang w:val="hr-HR"/>
        </w:rPr>
      </w:pPr>
      <w:r w:rsidRPr="005935E7">
        <w:rPr>
          <w:rFonts w:asciiTheme="minorHAnsi" w:hAnsiTheme="minorHAnsi" w:cstheme="minorHAnsi"/>
          <w:sz w:val="24"/>
          <w:szCs w:val="24"/>
          <w:lang w:val="hr-HR"/>
        </w:rPr>
        <w:t>Pravilnik o arheološkim istraživanjima</w:t>
      </w:r>
    </w:p>
    <w:p w:rsidR="005935E7" w:rsidRPr="00AE1DA9" w:rsidRDefault="005935E7" w:rsidP="005935E7">
      <w:pPr>
        <w:pStyle w:val="StandardWeb"/>
        <w:spacing w:before="0" w:beforeAutospacing="0" w:after="0" w:afterAutospacing="0" w:line="276" w:lineRule="auto"/>
        <w:ind w:left="567"/>
        <w:jc w:val="both"/>
        <w:rPr>
          <w:rFonts w:ascii="Times New Roman" w:hAnsi="Times New Roman"/>
          <w:sz w:val="24"/>
          <w:szCs w:val="24"/>
          <w:lang w:val="hr-HR"/>
        </w:rPr>
      </w:pPr>
    </w:p>
    <w:tbl>
      <w:tblPr>
        <w:tblStyle w:val="Reetkatablice"/>
        <w:tblW w:w="0" w:type="auto"/>
        <w:tblLook w:val="04A0" w:firstRow="1" w:lastRow="0" w:firstColumn="1" w:lastColumn="0" w:noHBand="0" w:noVBand="1"/>
      </w:tblPr>
      <w:tblGrid>
        <w:gridCol w:w="1803"/>
        <w:gridCol w:w="1232"/>
        <w:gridCol w:w="1212"/>
        <w:gridCol w:w="1200"/>
        <w:gridCol w:w="1199"/>
        <w:gridCol w:w="1200"/>
        <w:gridCol w:w="1216"/>
      </w:tblGrid>
      <w:tr w:rsidR="005935E7" w:rsidRPr="009D005B" w:rsidTr="00371CA9">
        <w:tc>
          <w:tcPr>
            <w:tcW w:w="1838" w:type="dxa"/>
            <w:shd w:val="clear" w:color="auto" w:fill="D0CECE" w:themeFill="background2" w:themeFillShade="E6"/>
          </w:tcPr>
          <w:p w:rsidR="00884B10" w:rsidRPr="009D005B" w:rsidRDefault="00884B10" w:rsidP="00371CA9">
            <w:pPr>
              <w:jc w:val="both"/>
            </w:pPr>
          </w:p>
          <w:p w:rsidR="00884B10" w:rsidRPr="009D005B" w:rsidRDefault="00884B10" w:rsidP="00371CA9">
            <w:pPr>
              <w:jc w:val="both"/>
            </w:pPr>
          </w:p>
        </w:tc>
        <w:tc>
          <w:tcPr>
            <w:tcW w:w="1260" w:type="dxa"/>
            <w:shd w:val="clear" w:color="auto" w:fill="D0CECE" w:themeFill="background2" w:themeFillShade="E6"/>
            <w:vAlign w:val="center"/>
          </w:tcPr>
          <w:p w:rsidR="00884B10" w:rsidRPr="009D005B" w:rsidRDefault="00884B10" w:rsidP="00EC7789">
            <w:pPr>
              <w:jc w:val="center"/>
            </w:pPr>
            <w:r w:rsidRPr="009D005B">
              <w:t>Izvršenje 20</w:t>
            </w:r>
            <w:r w:rsidR="005935E7">
              <w:t>2</w:t>
            </w:r>
            <w:r w:rsidR="00EC7789">
              <w:t>1</w:t>
            </w:r>
            <w:r w:rsidRPr="009D005B">
              <w:t>.</w:t>
            </w:r>
          </w:p>
        </w:tc>
        <w:tc>
          <w:tcPr>
            <w:tcW w:w="1261" w:type="dxa"/>
            <w:shd w:val="clear" w:color="auto" w:fill="D0CECE" w:themeFill="background2" w:themeFillShade="E6"/>
            <w:vAlign w:val="center"/>
          </w:tcPr>
          <w:p w:rsidR="00884B10" w:rsidRPr="009D005B" w:rsidRDefault="00884B10" w:rsidP="00EC7789">
            <w:pPr>
              <w:jc w:val="center"/>
            </w:pPr>
            <w:r w:rsidRPr="009D005B">
              <w:t>Plan 20</w:t>
            </w:r>
            <w:r w:rsidR="00D61037">
              <w:t>2</w:t>
            </w:r>
            <w:r w:rsidR="00EC7789">
              <w:t>2</w:t>
            </w:r>
            <w:r w:rsidRPr="009D005B">
              <w:t>.</w:t>
            </w:r>
          </w:p>
        </w:tc>
        <w:tc>
          <w:tcPr>
            <w:tcW w:w="1261" w:type="dxa"/>
            <w:shd w:val="clear" w:color="auto" w:fill="D0CECE" w:themeFill="background2" w:themeFillShade="E6"/>
            <w:vAlign w:val="center"/>
          </w:tcPr>
          <w:p w:rsidR="00884B10" w:rsidRPr="009D005B" w:rsidRDefault="00884B10" w:rsidP="00EC7789">
            <w:pPr>
              <w:jc w:val="center"/>
            </w:pPr>
            <w:r w:rsidRPr="009D005B">
              <w:t>Plan 202</w:t>
            </w:r>
            <w:r w:rsidR="00EC7789">
              <w:t>3</w:t>
            </w:r>
            <w:r w:rsidRPr="009D005B">
              <w:t>.</w:t>
            </w:r>
          </w:p>
        </w:tc>
        <w:tc>
          <w:tcPr>
            <w:tcW w:w="1260" w:type="dxa"/>
            <w:shd w:val="clear" w:color="auto" w:fill="D0CECE" w:themeFill="background2" w:themeFillShade="E6"/>
            <w:vAlign w:val="center"/>
          </w:tcPr>
          <w:p w:rsidR="00884B10" w:rsidRPr="009D005B" w:rsidRDefault="00884B10" w:rsidP="00EC7789">
            <w:pPr>
              <w:jc w:val="center"/>
            </w:pPr>
            <w:r w:rsidRPr="009D005B">
              <w:t>Plan 202</w:t>
            </w:r>
            <w:r w:rsidR="00EC7789">
              <w:t>4</w:t>
            </w:r>
            <w:r w:rsidRPr="009D005B">
              <w:t>.</w:t>
            </w:r>
          </w:p>
        </w:tc>
        <w:tc>
          <w:tcPr>
            <w:tcW w:w="1261" w:type="dxa"/>
            <w:shd w:val="clear" w:color="auto" w:fill="D0CECE" w:themeFill="background2" w:themeFillShade="E6"/>
            <w:vAlign w:val="center"/>
          </w:tcPr>
          <w:p w:rsidR="00884B10" w:rsidRPr="009D005B" w:rsidRDefault="00884B10" w:rsidP="00EC7789">
            <w:pPr>
              <w:jc w:val="center"/>
            </w:pPr>
            <w:r w:rsidRPr="009D005B">
              <w:t>Plan 202</w:t>
            </w:r>
            <w:r w:rsidR="00EC7789">
              <w:t>5</w:t>
            </w:r>
            <w:r w:rsidRPr="009D005B">
              <w:t>.</w:t>
            </w:r>
          </w:p>
        </w:tc>
        <w:tc>
          <w:tcPr>
            <w:tcW w:w="1261" w:type="dxa"/>
            <w:shd w:val="clear" w:color="auto" w:fill="D0CECE" w:themeFill="background2" w:themeFillShade="E6"/>
            <w:vAlign w:val="center"/>
          </w:tcPr>
          <w:p w:rsidR="00884B10" w:rsidRPr="009D005B" w:rsidRDefault="00884B10" w:rsidP="0088486A">
            <w:pPr>
              <w:jc w:val="center"/>
            </w:pPr>
            <w:r w:rsidRPr="009D005B">
              <w:t>Indeks 2</w:t>
            </w:r>
            <w:r w:rsidR="0088486A">
              <w:t>3</w:t>
            </w:r>
            <w:r w:rsidRPr="009D005B">
              <w:t>./</w:t>
            </w:r>
            <w:r w:rsidR="00D61037">
              <w:t>2</w:t>
            </w:r>
            <w:r w:rsidR="0088486A">
              <w:t>2</w:t>
            </w:r>
            <w:r w:rsidRPr="009D005B">
              <w:t>.</w:t>
            </w:r>
          </w:p>
        </w:tc>
      </w:tr>
      <w:tr w:rsidR="005935E7" w:rsidRPr="009D005B" w:rsidTr="00371CA9">
        <w:tc>
          <w:tcPr>
            <w:tcW w:w="1838" w:type="dxa"/>
          </w:tcPr>
          <w:p w:rsidR="00884B10" w:rsidRDefault="004C69EB" w:rsidP="00371CA9">
            <w:r w:rsidRPr="004C69EB">
              <w:t>A622125 EU PROJEKTI JAVNIH INSTITUTA (IZ EVIDENCIJSKIH PRIHODA)</w:t>
            </w:r>
          </w:p>
          <w:p w:rsidR="00B100E3" w:rsidRPr="009D005B" w:rsidRDefault="00B100E3" w:rsidP="00371CA9"/>
        </w:tc>
        <w:tc>
          <w:tcPr>
            <w:tcW w:w="1260" w:type="dxa"/>
          </w:tcPr>
          <w:p w:rsidR="008C7C8A" w:rsidRPr="005D3AE2" w:rsidRDefault="0088486A" w:rsidP="005935E7">
            <w:pPr>
              <w:jc w:val="center"/>
            </w:pPr>
            <w:r w:rsidRPr="005D3AE2">
              <w:t xml:space="preserve">27.208 </w:t>
            </w:r>
            <w:proofErr w:type="spellStart"/>
            <w:r w:rsidRPr="005D3AE2">
              <w:t>eur</w:t>
            </w:r>
            <w:proofErr w:type="spellEnd"/>
          </w:p>
        </w:tc>
        <w:tc>
          <w:tcPr>
            <w:tcW w:w="1261" w:type="dxa"/>
          </w:tcPr>
          <w:p w:rsidR="00884B10" w:rsidRPr="005D3AE2" w:rsidRDefault="0088486A" w:rsidP="005935E7">
            <w:pPr>
              <w:jc w:val="center"/>
            </w:pPr>
            <w:r w:rsidRPr="005D3AE2">
              <w:t xml:space="preserve">36.705 </w:t>
            </w:r>
            <w:proofErr w:type="spellStart"/>
            <w:r w:rsidRPr="005D3AE2">
              <w:t>eur</w:t>
            </w:r>
            <w:proofErr w:type="spellEnd"/>
          </w:p>
        </w:tc>
        <w:tc>
          <w:tcPr>
            <w:tcW w:w="1261" w:type="dxa"/>
          </w:tcPr>
          <w:p w:rsidR="00884B10" w:rsidRPr="005D3AE2" w:rsidRDefault="0088486A" w:rsidP="005935E7">
            <w:pPr>
              <w:jc w:val="center"/>
            </w:pPr>
            <w:r w:rsidRPr="005D3AE2">
              <w:t xml:space="preserve">5.309 </w:t>
            </w:r>
            <w:proofErr w:type="spellStart"/>
            <w:r w:rsidRPr="005D3AE2">
              <w:t>eur</w:t>
            </w:r>
            <w:proofErr w:type="spellEnd"/>
          </w:p>
        </w:tc>
        <w:tc>
          <w:tcPr>
            <w:tcW w:w="1260" w:type="dxa"/>
          </w:tcPr>
          <w:p w:rsidR="00884B10" w:rsidRPr="005D3AE2" w:rsidRDefault="005935E7" w:rsidP="005935E7">
            <w:pPr>
              <w:jc w:val="center"/>
            </w:pPr>
            <w:r w:rsidRPr="005D3AE2">
              <w:t>-</w:t>
            </w:r>
          </w:p>
        </w:tc>
        <w:tc>
          <w:tcPr>
            <w:tcW w:w="1261" w:type="dxa"/>
          </w:tcPr>
          <w:p w:rsidR="00884B10" w:rsidRPr="005D3AE2" w:rsidRDefault="00E95E17" w:rsidP="005935E7">
            <w:pPr>
              <w:jc w:val="center"/>
            </w:pPr>
            <w:r w:rsidRPr="005D3AE2">
              <w:t>-</w:t>
            </w:r>
          </w:p>
        </w:tc>
        <w:tc>
          <w:tcPr>
            <w:tcW w:w="1261" w:type="dxa"/>
          </w:tcPr>
          <w:p w:rsidR="00884B10" w:rsidRPr="005D3AE2" w:rsidRDefault="0088486A" w:rsidP="005935E7">
            <w:pPr>
              <w:jc w:val="center"/>
            </w:pPr>
            <w:r w:rsidRPr="005D3AE2">
              <w:t>14</w:t>
            </w:r>
          </w:p>
        </w:tc>
      </w:tr>
    </w:tbl>
    <w:p w:rsidR="001709A1" w:rsidRPr="005D3AE2" w:rsidRDefault="00884B10" w:rsidP="00884B10">
      <w:pPr>
        <w:spacing w:before="240"/>
        <w:jc w:val="both"/>
        <w:rPr>
          <w:i/>
        </w:rPr>
      </w:pPr>
      <w:r w:rsidRPr="005D3AE2">
        <w:rPr>
          <w:i/>
        </w:rPr>
        <w:t xml:space="preserve">Ova aktivnost/ projekt sastoji se od sljedećih </w:t>
      </w:r>
      <w:proofErr w:type="spellStart"/>
      <w:r w:rsidR="001709A1" w:rsidRPr="005D3AE2">
        <w:rPr>
          <w:i/>
        </w:rPr>
        <w:t>podprojekata</w:t>
      </w:r>
      <w:proofErr w:type="spellEnd"/>
      <w:r w:rsidR="001709A1" w:rsidRPr="005D3AE2">
        <w:rPr>
          <w:i/>
        </w:rPr>
        <w:t>:</w:t>
      </w:r>
    </w:p>
    <w:p w:rsidR="00884B10" w:rsidRPr="005D3AE2" w:rsidRDefault="001709A1" w:rsidP="00884B10">
      <w:pPr>
        <w:pStyle w:val="Odlomakpopisa"/>
        <w:numPr>
          <w:ilvl w:val="0"/>
          <w:numId w:val="16"/>
        </w:numPr>
        <w:jc w:val="both"/>
        <w:rPr>
          <w:i/>
        </w:rPr>
      </w:pPr>
      <w:r w:rsidRPr="005D3AE2">
        <w:rPr>
          <w:i/>
        </w:rPr>
        <w:t>A622125.0</w:t>
      </w:r>
      <w:r w:rsidR="005935E7" w:rsidRPr="005D3AE2">
        <w:rPr>
          <w:i/>
        </w:rPr>
        <w:t>64</w:t>
      </w:r>
      <w:r w:rsidRPr="005D3AE2">
        <w:rPr>
          <w:i/>
        </w:rPr>
        <w:t xml:space="preserve"> </w:t>
      </w:r>
      <w:proofErr w:type="spellStart"/>
      <w:r w:rsidR="005935E7" w:rsidRPr="005D3AE2">
        <w:rPr>
          <w:i/>
        </w:rPr>
        <w:t>Living</w:t>
      </w:r>
      <w:proofErr w:type="spellEnd"/>
      <w:r w:rsidR="005935E7" w:rsidRPr="005D3AE2">
        <w:rPr>
          <w:i/>
        </w:rPr>
        <w:t xml:space="preserve"> Danube Limes</w:t>
      </w:r>
      <w:r w:rsidRPr="005D3AE2">
        <w:rPr>
          <w:i/>
        </w:rPr>
        <w:t xml:space="preserve"> </w:t>
      </w:r>
      <w:r w:rsidR="00884B10" w:rsidRPr="005D3AE2">
        <w:rPr>
          <w:i/>
        </w:rPr>
        <w:t xml:space="preserve">– provodi se od </w:t>
      </w:r>
      <w:r w:rsidR="005935E7" w:rsidRPr="005D3AE2">
        <w:rPr>
          <w:i/>
        </w:rPr>
        <w:t>01.07.2020.-31.12.2022</w:t>
      </w:r>
      <w:r w:rsidR="00884B10" w:rsidRPr="005D3AE2">
        <w:rPr>
          <w:i/>
        </w:rPr>
        <w:t>.</w:t>
      </w:r>
    </w:p>
    <w:p w:rsidR="001709A1" w:rsidRPr="005D3AE2" w:rsidRDefault="00BA2C52" w:rsidP="001709A1">
      <w:pPr>
        <w:pStyle w:val="Odlomakpopisa"/>
        <w:jc w:val="both"/>
        <w:rPr>
          <w:i/>
        </w:rPr>
      </w:pPr>
      <w:r w:rsidRPr="005D3AE2">
        <w:rPr>
          <w:i/>
        </w:rPr>
        <w:t xml:space="preserve">Sredstva u visini </w:t>
      </w:r>
      <w:r w:rsidR="0088486A" w:rsidRPr="005D3AE2">
        <w:rPr>
          <w:i/>
        </w:rPr>
        <w:t xml:space="preserve">5.309 </w:t>
      </w:r>
      <w:proofErr w:type="spellStart"/>
      <w:r w:rsidR="0088486A" w:rsidRPr="005D3AE2">
        <w:rPr>
          <w:i/>
        </w:rPr>
        <w:t>eur</w:t>
      </w:r>
      <w:proofErr w:type="spellEnd"/>
      <w:r w:rsidR="001709A1" w:rsidRPr="005D3AE2">
        <w:rPr>
          <w:i/>
        </w:rPr>
        <w:t>, izvor 51</w:t>
      </w:r>
      <w:r w:rsidRPr="005D3AE2">
        <w:rPr>
          <w:i/>
        </w:rPr>
        <w:t xml:space="preserve"> planirana su za rashode za zaposlene</w:t>
      </w:r>
      <w:r w:rsidR="005935E7" w:rsidRPr="005D3AE2">
        <w:rPr>
          <w:i/>
        </w:rPr>
        <w:t>:</w:t>
      </w:r>
      <w:r w:rsidRPr="005D3AE2">
        <w:rPr>
          <w:i/>
        </w:rPr>
        <w:t xml:space="preserve"> </w:t>
      </w:r>
      <w:r w:rsidR="005935E7" w:rsidRPr="005D3AE2">
        <w:rPr>
          <w:i/>
        </w:rPr>
        <w:t>1</w:t>
      </w:r>
      <w:r w:rsidRPr="005D3AE2">
        <w:rPr>
          <w:i/>
        </w:rPr>
        <w:t xml:space="preserve"> zaposleni na projektu te materijalne rashode za </w:t>
      </w:r>
      <w:r w:rsidR="005935E7" w:rsidRPr="005D3AE2">
        <w:rPr>
          <w:i/>
        </w:rPr>
        <w:t>realizaciju projekta.</w:t>
      </w:r>
    </w:p>
    <w:p w:rsidR="00A05317" w:rsidRPr="00EC7789" w:rsidRDefault="00A05317" w:rsidP="006776BB">
      <w:pPr>
        <w:pStyle w:val="Odlomakpopisa"/>
        <w:jc w:val="both"/>
        <w:rPr>
          <w:i/>
          <w:color w:val="FF0000"/>
        </w:rPr>
      </w:pPr>
    </w:p>
    <w:p w:rsidR="005935E7" w:rsidRDefault="005935E7" w:rsidP="006776BB">
      <w:pPr>
        <w:pStyle w:val="Odlomakpopisa"/>
        <w:jc w:val="both"/>
        <w:rPr>
          <w:i/>
        </w:rPr>
      </w:pPr>
    </w:p>
    <w:p w:rsidR="005935E7" w:rsidRPr="005935E7" w:rsidRDefault="005935E7" w:rsidP="005935E7">
      <w:pPr>
        <w:ind w:left="4248" w:firstLine="708"/>
        <w:rPr>
          <w:rFonts w:cstheme="minorHAnsi"/>
        </w:rPr>
      </w:pPr>
      <w:r w:rsidRPr="005935E7">
        <w:rPr>
          <w:rFonts w:cstheme="minorHAnsi"/>
        </w:rPr>
        <w:t>v.d. ravnatelj Instituta za arheologiju:</w:t>
      </w:r>
    </w:p>
    <w:p w:rsidR="005935E7" w:rsidRPr="005935E7" w:rsidRDefault="005935E7" w:rsidP="005935E7">
      <w:pPr>
        <w:ind w:left="5664"/>
        <w:jc w:val="center"/>
        <w:rPr>
          <w:rFonts w:cstheme="minorHAnsi"/>
        </w:rPr>
      </w:pPr>
    </w:p>
    <w:p w:rsidR="005935E7" w:rsidRPr="005935E7" w:rsidRDefault="005935E7" w:rsidP="005935E7">
      <w:pPr>
        <w:ind w:left="5664"/>
        <w:rPr>
          <w:rFonts w:cstheme="minorHAnsi"/>
          <w:b/>
          <w:sz w:val="24"/>
          <w:szCs w:val="24"/>
        </w:rPr>
      </w:pPr>
      <w:r w:rsidRPr="005935E7">
        <w:rPr>
          <w:rFonts w:cstheme="minorHAnsi"/>
        </w:rPr>
        <w:t xml:space="preserve">dr. </w:t>
      </w:r>
      <w:proofErr w:type="spellStart"/>
      <w:r w:rsidRPr="005935E7">
        <w:rPr>
          <w:rFonts w:cstheme="minorHAnsi"/>
        </w:rPr>
        <w:t>sc</w:t>
      </w:r>
      <w:proofErr w:type="spellEnd"/>
      <w:r w:rsidRPr="005935E7">
        <w:rPr>
          <w:rFonts w:cstheme="minorHAnsi"/>
        </w:rPr>
        <w:t>. Marko Dizdar</w:t>
      </w:r>
    </w:p>
    <w:p w:rsidR="005935E7" w:rsidRPr="001709A1" w:rsidRDefault="005935E7" w:rsidP="006776BB">
      <w:pPr>
        <w:pStyle w:val="Odlomakpopisa"/>
        <w:jc w:val="both"/>
        <w:rPr>
          <w:i/>
        </w:rPr>
      </w:pPr>
    </w:p>
    <w:sectPr w:rsidR="005935E7" w:rsidRPr="001709A1" w:rsidSect="002526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55" w:rsidRDefault="00886355">
      <w:pPr>
        <w:spacing w:after="0" w:line="240" w:lineRule="auto"/>
      </w:pPr>
      <w:r>
        <w:separator/>
      </w:r>
    </w:p>
  </w:endnote>
  <w:endnote w:type="continuationSeparator" w:id="0">
    <w:p w:rsidR="00886355" w:rsidRDefault="00886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altName w:val="﷽﷽﷽﷽﷽﷽﷽﷽"/>
    <w:panose1 w:val="02020603050405020304"/>
    <w:charset w:val="EE"/>
    <w:family w:val="roman"/>
    <w:pitch w:val="variable"/>
    <w:sig w:usb0="E0002EFF" w:usb1="C000785B" w:usb2="00000009" w:usb3="00000000" w:csb0="000001FF" w:csb1="00000000"/>
  </w:font>
  <w:font w:name="We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15545"/>
      <w:docPartObj>
        <w:docPartGallery w:val="Page Numbers (Bottom of Page)"/>
        <w:docPartUnique/>
      </w:docPartObj>
    </w:sdtPr>
    <w:sdtEndPr/>
    <w:sdtContent>
      <w:p w:rsidR="005935E7" w:rsidRDefault="005935E7">
        <w:pPr>
          <w:pStyle w:val="Podnoje"/>
          <w:jc w:val="right"/>
        </w:pPr>
        <w:r>
          <w:fldChar w:fldCharType="begin"/>
        </w:r>
        <w:r>
          <w:instrText>PAGE   \* MERGEFORMAT</w:instrText>
        </w:r>
        <w:r>
          <w:fldChar w:fldCharType="separate"/>
        </w:r>
        <w:r w:rsidR="00801385">
          <w:rPr>
            <w:noProof/>
          </w:rPr>
          <w:t>8</w:t>
        </w:r>
        <w:r>
          <w:rPr>
            <w:noProof/>
          </w:rPr>
          <w:fldChar w:fldCharType="end"/>
        </w:r>
      </w:p>
    </w:sdtContent>
  </w:sdt>
  <w:p w:rsidR="005935E7" w:rsidRDefault="005935E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55" w:rsidRDefault="00886355">
      <w:pPr>
        <w:spacing w:after="0" w:line="240" w:lineRule="auto"/>
      </w:pPr>
      <w:r>
        <w:separator/>
      </w:r>
    </w:p>
  </w:footnote>
  <w:footnote w:type="continuationSeparator" w:id="0">
    <w:p w:rsidR="00886355" w:rsidRDefault="00886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9F9"/>
    <w:multiLevelType w:val="hybridMultilevel"/>
    <w:tmpl w:val="D48C7AF8"/>
    <w:lvl w:ilvl="0" w:tplc="041A0001">
      <w:start w:val="1"/>
      <w:numFmt w:val="bullet"/>
      <w:lvlText w:val=""/>
      <w:lvlJc w:val="left"/>
      <w:pPr>
        <w:tabs>
          <w:tab w:val="num" w:pos="1004"/>
        </w:tabs>
        <w:ind w:left="1004" w:hanging="360"/>
      </w:pPr>
      <w:rPr>
        <w:rFonts w:ascii="Symbol" w:hAnsi="Symbol" w:cs="Symbol" w:hint="default"/>
      </w:rPr>
    </w:lvl>
    <w:lvl w:ilvl="1" w:tplc="041A0003">
      <w:start w:val="1"/>
      <w:numFmt w:val="bullet"/>
      <w:lvlText w:val="o"/>
      <w:lvlJc w:val="left"/>
      <w:pPr>
        <w:tabs>
          <w:tab w:val="num" w:pos="1724"/>
        </w:tabs>
        <w:ind w:left="1724" w:hanging="360"/>
      </w:pPr>
      <w:rPr>
        <w:rFonts w:ascii="Courier New" w:hAnsi="Courier New" w:cs="Courier New" w:hint="default"/>
      </w:rPr>
    </w:lvl>
    <w:lvl w:ilvl="2" w:tplc="041A0005">
      <w:start w:val="1"/>
      <w:numFmt w:val="bullet"/>
      <w:lvlText w:val=""/>
      <w:lvlJc w:val="left"/>
      <w:pPr>
        <w:tabs>
          <w:tab w:val="num" w:pos="2444"/>
        </w:tabs>
        <w:ind w:left="2444" w:hanging="360"/>
      </w:pPr>
      <w:rPr>
        <w:rFonts w:ascii="Wingdings" w:hAnsi="Wingdings" w:cs="Wingdings" w:hint="default"/>
      </w:rPr>
    </w:lvl>
    <w:lvl w:ilvl="3" w:tplc="041A0001">
      <w:start w:val="1"/>
      <w:numFmt w:val="bullet"/>
      <w:lvlText w:val=""/>
      <w:lvlJc w:val="left"/>
      <w:pPr>
        <w:tabs>
          <w:tab w:val="num" w:pos="3164"/>
        </w:tabs>
        <w:ind w:left="3164" w:hanging="360"/>
      </w:pPr>
      <w:rPr>
        <w:rFonts w:ascii="Symbol" w:hAnsi="Symbol" w:cs="Symbol" w:hint="default"/>
      </w:rPr>
    </w:lvl>
    <w:lvl w:ilvl="4" w:tplc="041A0003">
      <w:start w:val="1"/>
      <w:numFmt w:val="bullet"/>
      <w:lvlText w:val="o"/>
      <w:lvlJc w:val="left"/>
      <w:pPr>
        <w:tabs>
          <w:tab w:val="num" w:pos="3884"/>
        </w:tabs>
        <w:ind w:left="3884" w:hanging="360"/>
      </w:pPr>
      <w:rPr>
        <w:rFonts w:ascii="Courier New" w:hAnsi="Courier New" w:cs="Courier New" w:hint="default"/>
      </w:rPr>
    </w:lvl>
    <w:lvl w:ilvl="5" w:tplc="041A0005">
      <w:start w:val="1"/>
      <w:numFmt w:val="bullet"/>
      <w:lvlText w:val=""/>
      <w:lvlJc w:val="left"/>
      <w:pPr>
        <w:tabs>
          <w:tab w:val="num" w:pos="4604"/>
        </w:tabs>
        <w:ind w:left="4604" w:hanging="360"/>
      </w:pPr>
      <w:rPr>
        <w:rFonts w:ascii="Wingdings" w:hAnsi="Wingdings" w:cs="Wingdings" w:hint="default"/>
      </w:rPr>
    </w:lvl>
    <w:lvl w:ilvl="6" w:tplc="041A0001">
      <w:start w:val="1"/>
      <w:numFmt w:val="bullet"/>
      <w:lvlText w:val=""/>
      <w:lvlJc w:val="left"/>
      <w:pPr>
        <w:tabs>
          <w:tab w:val="num" w:pos="5324"/>
        </w:tabs>
        <w:ind w:left="5324" w:hanging="360"/>
      </w:pPr>
      <w:rPr>
        <w:rFonts w:ascii="Symbol" w:hAnsi="Symbol" w:cs="Symbol" w:hint="default"/>
      </w:rPr>
    </w:lvl>
    <w:lvl w:ilvl="7" w:tplc="041A0003">
      <w:start w:val="1"/>
      <w:numFmt w:val="bullet"/>
      <w:lvlText w:val="o"/>
      <w:lvlJc w:val="left"/>
      <w:pPr>
        <w:tabs>
          <w:tab w:val="num" w:pos="6044"/>
        </w:tabs>
        <w:ind w:left="6044" w:hanging="360"/>
      </w:pPr>
      <w:rPr>
        <w:rFonts w:ascii="Courier New" w:hAnsi="Courier New" w:cs="Courier New" w:hint="default"/>
      </w:rPr>
    </w:lvl>
    <w:lvl w:ilvl="8" w:tplc="041A0005">
      <w:start w:val="1"/>
      <w:numFmt w:val="bullet"/>
      <w:lvlText w:val=""/>
      <w:lvlJc w:val="left"/>
      <w:pPr>
        <w:tabs>
          <w:tab w:val="num" w:pos="6764"/>
        </w:tabs>
        <w:ind w:left="6764" w:hanging="360"/>
      </w:pPr>
      <w:rPr>
        <w:rFonts w:ascii="Wingdings" w:hAnsi="Wingdings" w:cs="Wingdings" w:hint="default"/>
      </w:rPr>
    </w:lvl>
  </w:abstractNum>
  <w:abstractNum w:abstractNumId="1" w15:restartNumberingAfterBreak="0">
    <w:nsid w:val="08CE04C2"/>
    <w:multiLevelType w:val="hybridMultilevel"/>
    <w:tmpl w:val="5FE4275C"/>
    <w:lvl w:ilvl="0" w:tplc="CA8AA484">
      <w:start w:val="4"/>
      <w:numFmt w:val="bullet"/>
      <w:lvlText w:val="-"/>
      <w:lvlJc w:val="left"/>
      <w:pPr>
        <w:ind w:left="1440" w:hanging="360"/>
      </w:pPr>
      <w:rPr>
        <w:rFonts w:ascii="Times New Roman" w:eastAsiaTheme="minorHAns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 w15:restartNumberingAfterBreak="0">
    <w:nsid w:val="0BB300D5"/>
    <w:multiLevelType w:val="hybridMultilevel"/>
    <w:tmpl w:val="89921AD6"/>
    <w:lvl w:ilvl="0" w:tplc="ED24047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8DA1AC1"/>
    <w:multiLevelType w:val="hybridMultilevel"/>
    <w:tmpl w:val="68C4A17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A801F2"/>
    <w:multiLevelType w:val="hybridMultilevel"/>
    <w:tmpl w:val="94BA2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C654A1"/>
    <w:multiLevelType w:val="hybridMultilevel"/>
    <w:tmpl w:val="D79AE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A7659B"/>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E42F6C"/>
    <w:multiLevelType w:val="hybridMultilevel"/>
    <w:tmpl w:val="F49466D6"/>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 w15:restartNumberingAfterBreak="0">
    <w:nsid w:val="3EE50E94"/>
    <w:multiLevelType w:val="hybridMultilevel"/>
    <w:tmpl w:val="3A10C1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6A519D"/>
    <w:multiLevelType w:val="hybridMultilevel"/>
    <w:tmpl w:val="769A9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1B4FFA"/>
    <w:multiLevelType w:val="hybridMultilevel"/>
    <w:tmpl w:val="94BA2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6038B7"/>
    <w:multiLevelType w:val="hybridMultilevel"/>
    <w:tmpl w:val="AB7678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5A2982"/>
    <w:multiLevelType w:val="hybridMultilevel"/>
    <w:tmpl w:val="D72EB230"/>
    <w:lvl w:ilvl="0" w:tplc="CA8AA484">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EB33FCE"/>
    <w:multiLevelType w:val="hybridMultilevel"/>
    <w:tmpl w:val="29202FDE"/>
    <w:lvl w:ilvl="0" w:tplc="A9828B1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61CE750A"/>
    <w:multiLevelType w:val="hybridMultilevel"/>
    <w:tmpl w:val="FBE66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B22EC0"/>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B601A5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3" w15:restartNumberingAfterBreak="0">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9F45BFA"/>
    <w:multiLevelType w:val="hybridMultilevel"/>
    <w:tmpl w:val="A21EE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4"/>
  </w:num>
  <w:num w:numId="3">
    <w:abstractNumId w:val="6"/>
  </w:num>
  <w:num w:numId="4">
    <w:abstractNumId w:val="2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9"/>
  </w:num>
  <w:num w:numId="11">
    <w:abstractNumId w:val="2"/>
  </w:num>
  <w:num w:numId="12">
    <w:abstractNumId w:val="25"/>
  </w:num>
  <w:num w:numId="13">
    <w:abstractNumId w:val="16"/>
  </w:num>
  <w:num w:numId="14">
    <w:abstractNumId w:val="11"/>
  </w:num>
  <w:num w:numId="15">
    <w:abstractNumId w:val="18"/>
  </w:num>
  <w:num w:numId="16">
    <w:abstractNumId w:val="19"/>
  </w:num>
  <w:num w:numId="17">
    <w:abstractNumId w:val="14"/>
  </w:num>
  <w:num w:numId="18">
    <w:abstractNumId w:val="13"/>
  </w:num>
  <w:num w:numId="19">
    <w:abstractNumId w:val="7"/>
  </w:num>
  <w:num w:numId="20">
    <w:abstractNumId w:val="21"/>
  </w:num>
  <w:num w:numId="21">
    <w:abstractNumId w:val="17"/>
  </w:num>
  <w:num w:numId="22">
    <w:abstractNumId w:val="10"/>
  </w:num>
  <w:num w:numId="23">
    <w:abstractNumId w:val="1"/>
  </w:num>
  <w:num w:numId="24">
    <w:abstractNumId w:val="23"/>
  </w:num>
  <w:num w:numId="25">
    <w:abstractNumId w:val="22"/>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CF"/>
    <w:rsid w:val="00002CFB"/>
    <w:rsid w:val="000514DB"/>
    <w:rsid w:val="00066184"/>
    <w:rsid w:val="00074D75"/>
    <w:rsid w:val="00075C48"/>
    <w:rsid w:val="000A464D"/>
    <w:rsid w:val="000B455D"/>
    <w:rsid w:val="000C1576"/>
    <w:rsid w:val="000E5511"/>
    <w:rsid w:val="00102DE9"/>
    <w:rsid w:val="0010612C"/>
    <w:rsid w:val="0011011A"/>
    <w:rsid w:val="0011367A"/>
    <w:rsid w:val="00115783"/>
    <w:rsid w:val="0012752E"/>
    <w:rsid w:val="00127AA0"/>
    <w:rsid w:val="001374F6"/>
    <w:rsid w:val="00142E0D"/>
    <w:rsid w:val="00154FA3"/>
    <w:rsid w:val="00166458"/>
    <w:rsid w:val="001709A1"/>
    <w:rsid w:val="00220BF7"/>
    <w:rsid w:val="0022293E"/>
    <w:rsid w:val="00252600"/>
    <w:rsid w:val="00253DD8"/>
    <w:rsid w:val="00261261"/>
    <w:rsid w:val="0029099A"/>
    <w:rsid w:val="0029349D"/>
    <w:rsid w:val="002C1F90"/>
    <w:rsid w:val="002D444E"/>
    <w:rsid w:val="002F6E32"/>
    <w:rsid w:val="003215A3"/>
    <w:rsid w:val="00321FC7"/>
    <w:rsid w:val="00362DAD"/>
    <w:rsid w:val="003654CC"/>
    <w:rsid w:val="00371CA9"/>
    <w:rsid w:val="0037309D"/>
    <w:rsid w:val="00376156"/>
    <w:rsid w:val="003827B4"/>
    <w:rsid w:val="00382F49"/>
    <w:rsid w:val="00385C91"/>
    <w:rsid w:val="0041630D"/>
    <w:rsid w:val="004309AF"/>
    <w:rsid w:val="00441D7F"/>
    <w:rsid w:val="004632D5"/>
    <w:rsid w:val="004822F2"/>
    <w:rsid w:val="004827A5"/>
    <w:rsid w:val="004877B1"/>
    <w:rsid w:val="004A0FDC"/>
    <w:rsid w:val="004A1334"/>
    <w:rsid w:val="004B19CE"/>
    <w:rsid w:val="004C69EB"/>
    <w:rsid w:val="004F0F7E"/>
    <w:rsid w:val="00511FEF"/>
    <w:rsid w:val="0052648C"/>
    <w:rsid w:val="00543717"/>
    <w:rsid w:val="00553C98"/>
    <w:rsid w:val="0057208C"/>
    <w:rsid w:val="005804D3"/>
    <w:rsid w:val="0058155A"/>
    <w:rsid w:val="005935E7"/>
    <w:rsid w:val="005A5ECF"/>
    <w:rsid w:val="005D3AE2"/>
    <w:rsid w:val="005F603F"/>
    <w:rsid w:val="00630F6D"/>
    <w:rsid w:val="00650232"/>
    <w:rsid w:val="00653569"/>
    <w:rsid w:val="00654FF6"/>
    <w:rsid w:val="00657F14"/>
    <w:rsid w:val="006776BB"/>
    <w:rsid w:val="006C1B88"/>
    <w:rsid w:val="006D1ED3"/>
    <w:rsid w:val="00702B67"/>
    <w:rsid w:val="00703212"/>
    <w:rsid w:val="00753C0E"/>
    <w:rsid w:val="00780E26"/>
    <w:rsid w:val="007A335A"/>
    <w:rsid w:val="007C0F8D"/>
    <w:rsid w:val="007D59FC"/>
    <w:rsid w:val="007E361B"/>
    <w:rsid w:val="007F726B"/>
    <w:rsid w:val="007F72B8"/>
    <w:rsid w:val="00801385"/>
    <w:rsid w:val="008053C1"/>
    <w:rsid w:val="00824F8B"/>
    <w:rsid w:val="0084485A"/>
    <w:rsid w:val="00847079"/>
    <w:rsid w:val="00856A66"/>
    <w:rsid w:val="008750BD"/>
    <w:rsid w:val="0088177A"/>
    <w:rsid w:val="0088486A"/>
    <w:rsid w:val="00884B10"/>
    <w:rsid w:val="00886355"/>
    <w:rsid w:val="00897696"/>
    <w:rsid w:val="008B0845"/>
    <w:rsid w:val="008B1329"/>
    <w:rsid w:val="008B584A"/>
    <w:rsid w:val="008C40E5"/>
    <w:rsid w:val="008C7C8A"/>
    <w:rsid w:val="008F09E6"/>
    <w:rsid w:val="009169FF"/>
    <w:rsid w:val="00925DB4"/>
    <w:rsid w:val="00931DB4"/>
    <w:rsid w:val="00933F04"/>
    <w:rsid w:val="009353C8"/>
    <w:rsid w:val="00954822"/>
    <w:rsid w:val="00955B6B"/>
    <w:rsid w:val="009662D6"/>
    <w:rsid w:val="00990654"/>
    <w:rsid w:val="00997589"/>
    <w:rsid w:val="009A12DA"/>
    <w:rsid w:val="009A5105"/>
    <w:rsid w:val="009B40E5"/>
    <w:rsid w:val="009E2203"/>
    <w:rsid w:val="009F0B2F"/>
    <w:rsid w:val="009F2B2F"/>
    <w:rsid w:val="00A04487"/>
    <w:rsid w:val="00A05317"/>
    <w:rsid w:val="00A13518"/>
    <w:rsid w:val="00A1630B"/>
    <w:rsid w:val="00A23AD1"/>
    <w:rsid w:val="00A23BB0"/>
    <w:rsid w:val="00A47455"/>
    <w:rsid w:val="00A627C9"/>
    <w:rsid w:val="00A80AB0"/>
    <w:rsid w:val="00A94A23"/>
    <w:rsid w:val="00A960DE"/>
    <w:rsid w:val="00AA18FB"/>
    <w:rsid w:val="00AA562A"/>
    <w:rsid w:val="00AB14E5"/>
    <w:rsid w:val="00AE1DA9"/>
    <w:rsid w:val="00AE20FB"/>
    <w:rsid w:val="00AE5404"/>
    <w:rsid w:val="00AE608B"/>
    <w:rsid w:val="00AF0A01"/>
    <w:rsid w:val="00B100E3"/>
    <w:rsid w:val="00B13415"/>
    <w:rsid w:val="00B14EA7"/>
    <w:rsid w:val="00B33EB0"/>
    <w:rsid w:val="00B431AB"/>
    <w:rsid w:val="00B71CDE"/>
    <w:rsid w:val="00B7656F"/>
    <w:rsid w:val="00B77975"/>
    <w:rsid w:val="00BA2C52"/>
    <w:rsid w:val="00BA790F"/>
    <w:rsid w:val="00BD255E"/>
    <w:rsid w:val="00BD6A50"/>
    <w:rsid w:val="00BE741E"/>
    <w:rsid w:val="00BF1E91"/>
    <w:rsid w:val="00BF524F"/>
    <w:rsid w:val="00BF5AC8"/>
    <w:rsid w:val="00C10981"/>
    <w:rsid w:val="00C2689E"/>
    <w:rsid w:val="00C47066"/>
    <w:rsid w:val="00CB6636"/>
    <w:rsid w:val="00CD1B2B"/>
    <w:rsid w:val="00CF46CE"/>
    <w:rsid w:val="00D31B26"/>
    <w:rsid w:val="00D4406A"/>
    <w:rsid w:val="00D52167"/>
    <w:rsid w:val="00D61037"/>
    <w:rsid w:val="00D6719F"/>
    <w:rsid w:val="00D75EF2"/>
    <w:rsid w:val="00D84067"/>
    <w:rsid w:val="00DA0AAC"/>
    <w:rsid w:val="00DA7AFE"/>
    <w:rsid w:val="00DF0CFA"/>
    <w:rsid w:val="00DF42C8"/>
    <w:rsid w:val="00E30020"/>
    <w:rsid w:val="00E431AF"/>
    <w:rsid w:val="00E601A3"/>
    <w:rsid w:val="00E64EB9"/>
    <w:rsid w:val="00E767A4"/>
    <w:rsid w:val="00E95E17"/>
    <w:rsid w:val="00EC7789"/>
    <w:rsid w:val="00EE44C0"/>
    <w:rsid w:val="00EF05CF"/>
    <w:rsid w:val="00F02EB4"/>
    <w:rsid w:val="00F12286"/>
    <w:rsid w:val="00F13ABB"/>
    <w:rsid w:val="00F21CC7"/>
    <w:rsid w:val="00F321B8"/>
    <w:rsid w:val="00F54137"/>
    <w:rsid w:val="00F556B5"/>
    <w:rsid w:val="00F75286"/>
    <w:rsid w:val="00FC3931"/>
    <w:rsid w:val="00FD02F9"/>
    <w:rsid w:val="00FD2FC2"/>
    <w:rsid w:val="00FE3AA1"/>
    <w:rsid w:val="00FE3DAD"/>
    <w:rsid w:val="00FE5E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E13F6-70F7-40A9-89BD-91B980BE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C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nhideWhenUsed/>
    <w:rsid w:val="00EF05CF"/>
    <w:pPr>
      <w:tabs>
        <w:tab w:val="center" w:pos="4536"/>
        <w:tab w:val="right" w:pos="9072"/>
      </w:tabs>
      <w:spacing w:after="0" w:line="240" w:lineRule="auto"/>
    </w:pPr>
  </w:style>
  <w:style w:type="character" w:customStyle="1" w:styleId="PodnojeChar">
    <w:name w:val="Podnožje Char"/>
    <w:basedOn w:val="Zadanifontodlomka"/>
    <w:link w:val="Podnoje"/>
    <w:rsid w:val="00EF05CF"/>
  </w:style>
  <w:style w:type="table" w:styleId="Reetkatablice">
    <w:name w:val="Table Grid"/>
    <w:basedOn w:val="Obinatablica"/>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Bullet point,List Paragraph1"/>
    <w:basedOn w:val="Normal"/>
    <w:link w:val="OdlomakpopisaChar"/>
    <w:uiPriority w:val="34"/>
    <w:qFormat/>
    <w:rsid w:val="00EF05CF"/>
    <w:pPr>
      <w:ind w:left="720"/>
      <w:contextualSpacing/>
    </w:pPr>
  </w:style>
  <w:style w:type="paragraph" w:customStyle="1" w:styleId="Default">
    <w:name w:val="Default"/>
    <w:rsid w:val="004309AF"/>
    <w:pPr>
      <w:autoSpaceDE w:val="0"/>
      <w:autoSpaceDN w:val="0"/>
      <w:adjustRightInd w:val="0"/>
      <w:spacing w:after="0" w:line="240" w:lineRule="auto"/>
    </w:pPr>
    <w:rPr>
      <w:rFonts w:ascii="Arial" w:eastAsia="Calibri" w:hAnsi="Arial" w:cs="Arial"/>
      <w:color w:val="000000"/>
      <w:sz w:val="24"/>
      <w:szCs w:val="24"/>
    </w:rPr>
  </w:style>
  <w:style w:type="paragraph" w:styleId="StandardWeb">
    <w:name w:val="Normal (Web)"/>
    <w:basedOn w:val="Normal"/>
    <w:uiPriority w:val="99"/>
    <w:unhideWhenUsed/>
    <w:rsid w:val="00BF524F"/>
    <w:pPr>
      <w:spacing w:before="100" w:beforeAutospacing="1" w:after="100" w:afterAutospacing="1" w:line="240" w:lineRule="auto"/>
    </w:pPr>
    <w:rPr>
      <w:rFonts w:ascii="Times" w:hAnsi="Times" w:cs="Times New Roman"/>
      <w:sz w:val="20"/>
      <w:szCs w:val="20"/>
      <w:lang w:val="en-US"/>
    </w:rPr>
  </w:style>
  <w:style w:type="character" w:customStyle="1" w:styleId="OdlomakpopisaChar">
    <w:name w:val="Odlomak popisa Char"/>
    <w:aliases w:val="Bullet point Char,List Paragraph1 Char"/>
    <w:link w:val="Odlomakpopisa"/>
    <w:uiPriority w:val="34"/>
    <w:locked/>
    <w:rsid w:val="00253DD8"/>
  </w:style>
  <w:style w:type="character" w:customStyle="1" w:styleId="TijelotekstaChar">
    <w:name w:val="Tijelo teksta Char"/>
    <w:aliases w:val="uvlaka 3 Char,uvlaka 2 Char"/>
    <w:basedOn w:val="Zadanifontodlomka"/>
    <w:link w:val="Tijeloteksta"/>
    <w:semiHidden/>
    <w:locked/>
    <w:rsid w:val="0012752E"/>
    <w:rPr>
      <w:rFonts w:ascii="Welt" w:eastAsia="Times New Roman" w:hAnsi="Welt" w:cs="Times New Roman"/>
      <w:sz w:val="24"/>
      <w:szCs w:val="24"/>
    </w:rPr>
  </w:style>
  <w:style w:type="paragraph" w:styleId="Tijeloteksta">
    <w:name w:val="Body Text"/>
    <w:aliases w:val="uvlaka 3,uvlaka 2"/>
    <w:basedOn w:val="Normal"/>
    <w:link w:val="TijelotekstaChar"/>
    <w:semiHidden/>
    <w:unhideWhenUsed/>
    <w:rsid w:val="0012752E"/>
    <w:pPr>
      <w:spacing w:before="60" w:after="0" w:line="240" w:lineRule="auto"/>
      <w:ind w:firstLine="284"/>
    </w:pPr>
    <w:rPr>
      <w:rFonts w:ascii="Welt" w:eastAsia="Times New Roman" w:hAnsi="Welt" w:cs="Times New Roman"/>
      <w:sz w:val="24"/>
      <w:szCs w:val="24"/>
    </w:rPr>
  </w:style>
  <w:style w:type="character" w:customStyle="1" w:styleId="BodyTextChar1">
    <w:name w:val="Body Text Char1"/>
    <w:basedOn w:val="Zadanifontodlomka"/>
    <w:uiPriority w:val="99"/>
    <w:semiHidden/>
    <w:rsid w:val="0012752E"/>
  </w:style>
  <w:style w:type="character" w:styleId="Istaknuto">
    <w:name w:val="Emphasis"/>
    <w:basedOn w:val="Zadanifontodlomka"/>
    <w:uiPriority w:val="20"/>
    <w:qFormat/>
    <w:rsid w:val="00B71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5403">
      <w:bodyDiv w:val="1"/>
      <w:marLeft w:val="0"/>
      <w:marRight w:val="0"/>
      <w:marTop w:val="0"/>
      <w:marBottom w:val="0"/>
      <w:divBdr>
        <w:top w:val="none" w:sz="0" w:space="0" w:color="auto"/>
        <w:left w:val="none" w:sz="0" w:space="0" w:color="auto"/>
        <w:bottom w:val="none" w:sz="0" w:space="0" w:color="auto"/>
        <w:right w:val="none" w:sz="0" w:space="0" w:color="auto"/>
      </w:divBdr>
    </w:div>
    <w:div w:id="630553076">
      <w:bodyDiv w:val="1"/>
      <w:marLeft w:val="0"/>
      <w:marRight w:val="0"/>
      <w:marTop w:val="0"/>
      <w:marBottom w:val="0"/>
      <w:divBdr>
        <w:top w:val="none" w:sz="0" w:space="0" w:color="auto"/>
        <w:left w:val="none" w:sz="0" w:space="0" w:color="auto"/>
        <w:bottom w:val="none" w:sz="0" w:space="0" w:color="auto"/>
        <w:right w:val="none" w:sz="0" w:space="0" w:color="auto"/>
      </w:divBdr>
    </w:div>
    <w:div w:id="1294408646">
      <w:bodyDiv w:val="1"/>
      <w:marLeft w:val="0"/>
      <w:marRight w:val="0"/>
      <w:marTop w:val="0"/>
      <w:marBottom w:val="0"/>
      <w:divBdr>
        <w:top w:val="none" w:sz="0" w:space="0" w:color="auto"/>
        <w:left w:val="none" w:sz="0" w:space="0" w:color="auto"/>
        <w:bottom w:val="none" w:sz="0" w:space="0" w:color="auto"/>
        <w:right w:val="none" w:sz="0" w:space="0" w:color="auto"/>
      </w:divBdr>
    </w:div>
    <w:div w:id="142626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B3F55-46DA-4387-B393-876C5342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2400</Words>
  <Characters>13681</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Windows User</cp:lastModifiedBy>
  <cp:revision>4</cp:revision>
  <cp:lastPrinted>2020-10-14T10:39:00Z</cp:lastPrinted>
  <dcterms:created xsi:type="dcterms:W3CDTF">2023-02-15T01:18:00Z</dcterms:created>
  <dcterms:modified xsi:type="dcterms:W3CDTF">2023-02-15T01:31:00Z</dcterms:modified>
</cp:coreProperties>
</file>