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CE" w:rsidRDefault="004520CE" w:rsidP="004520CE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Pr="00BD3940">
        <w:rPr>
          <w:rFonts w:ascii="Times New Roman" w:hAnsi="Times New Roman"/>
          <w:b/>
          <w:sz w:val="24"/>
        </w:rPr>
        <w:t>ZA 202</w:t>
      </w:r>
      <w:r>
        <w:rPr>
          <w:rFonts w:ascii="Times New Roman" w:hAnsi="Times New Roman"/>
          <w:b/>
          <w:sz w:val="24"/>
        </w:rPr>
        <w:t>5</w:t>
      </w:r>
      <w:r w:rsidRPr="00BD3940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GODINU </w:t>
      </w:r>
      <w:r>
        <w:rPr>
          <w:rFonts w:ascii="Times New Roman" w:hAnsi="Times New Roman"/>
          <w:b/>
          <w:sz w:val="24"/>
        </w:rPr>
        <w:br/>
        <w:t>S PROJEKCIJAMA ZA 2026. I 2027. GODINU</w:t>
      </w:r>
    </w:p>
    <w:p w:rsidR="004520CE" w:rsidRDefault="004520CE" w:rsidP="004520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0CE" w:rsidRDefault="004520CE" w:rsidP="004520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Nadležno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ministarstvo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MINISTARSTVO ZNANOSTI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,OBRAZOVANJA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I MLADIH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Razdjel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08</w:t>
      </w:r>
      <w:r w:rsidR="008E6C6B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Proračunski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korisnik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>
        <w:rPr>
          <w:rFonts w:ascii="Times New Roman" w:hAnsi="Times New Roman" w:cs="Times New Roman"/>
          <w:b/>
          <w:i/>
          <w:sz w:val="24"/>
          <w:szCs w:val="24"/>
        </w:rPr>
        <w:t>INSTITUT ZA ARHEOLOGIJU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Jurjevska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ulica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15</w:t>
      </w:r>
    </w:p>
    <w:p w:rsidR="004520CE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Razina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RKP br.: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03121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Matični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8E6C6B">
        <w:rPr>
          <w:rFonts w:ascii="Times New Roman" w:hAnsi="Times New Roman" w:cs="Times New Roman"/>
          <w:b/>
          <w:i/>
          <w:sz w:val="24"/>
          <w:szCs w:val="24"/>
        </w:rPr>
        <w:t>937658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OIB: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59796264563</w:t>
      </w:r>
    </w:p>
    <w:p w:rsidR="004520CE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Šira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djelatnosti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E6C6B">
        <w:rPr>
          <w:rFonts w:ascii="Times New Roman" w:hAnsi="Times New Roman" w:cs="Times New Roman"/>
          <w:b/>
          <w:i/>
          <w:sz w:val="24"/>
          <w:szCs w:val="24"/>
        </w:rPr>
        <w:t>7220</w:t>
      </w:r>
    </w:p>
    <w:p w:rsidR="004520CE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Marko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Dizdar</w:t>
      </w:r>
      <w:proofErr w:type="spellEnd"/>
    </w:p>
    <w:p w:rsidR="004520CE" w:rsidRDefault="004520CE" w:rsidP="004520CE">
      <w:pPr>
        <w:tabs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20CE" w:rsidRDefault="004520CE" w:rsidP="004520CE">
      <w:pPr>
        <w:pStyle w:val="Bezproreda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Financijski plan je akt </w:t>
      </w:r>
      <w:r w:rsidR="008E6C6B">
        <w:rPr>
          <w:rFonts w:ascii="Times New Roman" w:hAnsi="Times New Roman"/>
          <w:sz w:val="24"/>
        </w:rPr>
        <w:t>Instituta za arheologiju</w:t>
      </w:r>
      <w:r>
        <w:rPr>
          <w:rFonts w:ascii="Times New Roman" w:hAnsi="Times New Roman"/>
          <w:sz w:val="24"/>
        </w:rPr>
        <w:t xml:space="preserve"> koji sadrži plan za proračunsku godinu i projekcije za sljedeće dvije proračunske godine i u kojemu se procjenjuju prihodi i primici te utvrđuju rashodi i izdaci u skladu sa proračunskim klasifikacijama.</w:t>
      </w:r>
      <w:r>
        <w:rPr>
          <w:rFonts w:ascii="Times New Roman" w:hAnsi="Times New Roman"/>
          <w:bCs/>
          <w:sz w:val="24"/>
        </w:rPr>
        <w:t xml:space="preserve"> </w:t>
      </w:r>
    </w:p>
    <w:p w:rsidR="004520CE" w:rsidRDefault="004520CE" w:rsidP="004520CE">
      <w:pPr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sz w:val="24"/>
        </w:rPr>
        <w:t>Financijski</w:t>
      </w:r>
      <w:proofErr w:type="spellEnd"/>
      <w:r>
        <w:rPr>
          <w:rFonts w:ascii="Times New Roman" w:hAnsi="Times New Roman"/>
          <w:sz w:val="24"/>
        </w:rPr>
        <w:t xml:space="preserve"> plan </w:t>
      </w:r>
      <w:proofErr w:type="spellStart"/>
      <w:r>
        <w:rPr>
          <w:rFonts w:ascii="Times New Roman" w:hAnsi="Times New Roman"/>
          <w:sz w:val="24"/>
        </w:rPr>
        <w:t>sastoji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gramStart"/>
      <w:r>
        <w:rPr>
          <w:rFonts w:ascii="Times New Roman" w:hAnsi="Times New Roman"/>
          <w:sz w:val="24"/>
        </w:rPr>
        <w:t>od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proračunsku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godinu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projekcija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sljedeće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dvije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godine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sadrži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opći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posebni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obrazloženje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financijskog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plana</w:t>
      </w:r>
      <w:proofErr w:type="spellEnd"/>
      <w:r>
        <w:rPr>
          <w:rFonts w:ascii="Times New Roman" w:hAnsi="Times New Roman"/>
          <w:sz w:val="24"/>
        </w:rPr>
        <w:t>.</w:t>
      </w:r>
    </w:p>
    <w:p w:rsidR="004520CE" w:rsidRDefault="004520CE" w:rsidP="004520CE">
      <w:pPr>
        <w:rPr>
          <w:rFonts w:ascii="Times New Roman" w:hAnsi="Times New Roman"/>
          <w:b/>
          <w:bCs/>
          <w:sz w:val="24"/>
        </w:rPr>
      </w:pPr>
      <w:proofErr w:type="spellStart"/>
      <w:r>
        <w:rPr>
          <w:rFonts w:ascii="Times New Roman" w:hAnsi="Times New Roman"/>
          <w:sz w:val="24"/>
        </w:rPr>
        <w:t>Sukladno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članku</w:t>
      </w:r>
      <w:proofErr w:type="spellEnd"/>
      <w:r>
        <w:rPr>
          <w:rFonts w:ascii="Times New Roman" w:hAnsi="Times New Roman"/>
          <w:sz w:val="24"/>
        </w:rPr>
        <w:t xml:space="preserve"> 36. </w:t>
      </w:r>
      <w:proofErr w:type="spellStart"/>
      <w:r>
        <w:rPr>
          <w:rFonts w:ascii="Times New Roman" w:hAnsi="Times New Roman"/>
          <w:sz w:val="24"/>
        </w:rPr>
        <w:t>Zakona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proračunu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novine</w:t>
      </w:r>
      <w:proofErr w:type="spellEnd"/>
      <w:r>
        <w:rPr>
          <w:rFonts w:ascii="Times New Roman" w:hAnsi="Times New Roman"/>
          <w:sz w:val="24"/>
        </w:rPr>
        <w:t xml:space="preserve"> br. 144/21) </w:t>
      </w:r>
      <w:proofErr w:type="spellStart"/>
      <w:r>
        <w:rPr>
          <w:rFonts w:ascii="Times New Roman" w:hAnsi="Times New Roman"/>
          <w:sz w:val="24"/>
        </w:rPr>
        <w:t>obrazloženje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financijskog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proračunskog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korisnika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sastoji</w:t>
      </w:r>
      <w:proofErr w:type="spellEnd"/>
      <w:r>
        <w:rPr>
          <w:rFonts w:ascii="Times New Roman" w:hAnsi="Times New Roman"/>
          <w:sz w:val="24"/>
        </w:rPr>
        <w:t xml:space="preserve"> se </w:t>
      </w:r>
      <w:proofErr w:type="gramStart"/>
      <w:r>
        <w:rPr>
          <w:rFonts w:ascii="Times New Roman" w:hAnsi="Times New Roman"/>
          <w:sz w:val="24"/>
        </w:rPr>
        <w:t>od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obrazloženja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općeg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dijela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financijskog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obrazloženja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posebnog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dijela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financijskog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plana</w:t>
      </w:r>
      <w:proofErr w:type="spellEnd"/>
      <w:r>
        <w:rPr>
          <w:rFonts w:ascii="Times New Roman" w:hAnsi="Times New Roman"/>
          <w:sz w:val="24"/>
        </w:rPr>
        <w:t>.</w:t>
      </w:r>
    </w:p>
    <w:p w:rsidR="004520CE" w:rsidRPr="00300F20" w:rsidRDefault="004520CE" w:rsidP="004520C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</w:rPr>
      </w:pPr>
      <w:r w:rsidRPr="003F0BAE">
        <w:rPr>
          <w:rFonts w:ascii="Times New Roman" w:hAnsi="Times New Roman"/>
          <w:b/>
          <w:sz w:val="24"/>
        </w:rPr>
        <w:t>OBRAZLOŽENJE OPĆEG DIJELA FINANCIJSKOG PLANA</w:t>
      </w:r>
    </w:p>
    <w:p w:rsidR="008E57A0" w:rsidRPr="001210BA" w:rsidRDefault="004520CE" w:rsidP="00BE7E83">
      <w:pPr>
        <w:pStyle w:val="StandardWeb"/>
        <w:spacing w:before="0" w:beforeAutospacing="0" w:after="0" w:afterAutospacing="0"/>
        <w:jc w:val="both"/>
      </w:pPr>
      <w:r w:rsidRPr="00300F20">
        <w:rPr>
          <w:color w:val="000000" w:themeColor="text1"/>
        </w:rPr>
        <w:t xml:space="preserve">Prijedlog financijskog plana </w:t>
      </w:r>
      <w:r w:rsidR="008E6C6B">
        <w:t>Instituta za arheologiju</w:t>
      </w:r>
      <w:r w:rsidRPr="00300F20">
        <w:rPr>
          <w:color w:val="000000" w:themeColor="text1"/>
        </w:rPr>
        <w:t xml:space="preserve"> za razdoblje 202</w:t>
      </w:r>
      <w:r>
        <w:rPr>
          <w:color w:val="000000" w:themeColor="text1"/>
        </w:rPr>
        <w:t>5</w:t>
      </w:r>
      <w:r w:rsidRPr="00300F20">
        <w:rPr>
          <w:color w:val="000000" w:themeColor="text1"/>
        </w:rPr>
        <w:t>.-202</w:t>
      </w:r>
      <w:r>
        <w:rPr>
          <w:color w:val="000000" w:themeColor="text1"/>
        </w:rPr>
        <w:t>7</w:t>
      </w:r>
      <w:r w:rsidRPr="00300F20">
        <w:rPr>
          <w:color w:val="000000" w:themeColor="text1"/>
        </w:rPr>
        <w:t xml:space="preserve">. godine izrađen je prema metodologiji propisanoj Zakonom o proračunu (Narodne novine br. 144/21) i </w:t>
      </w:r>
      <w:proofErr w:type="spellStart"/>
      <w:r w:rsidRPr="00300F20">
        <w:rPr>
          <w:color w:val="000000" w:themeColor="text1"/>
        </w:rPr>
        <w:t>podzakonskim</w:t>
      </w:r>
      <w:proofErr w:type="spellEnd"/>
      <w:r w:rsidRPr="00300F20">
        <w:rPr>
          <w:color w:val="000000" w:themeColor="text1"/>
        </w:rPr>
        <w:t xml:space="preserve"> aktima kojima se regulira provedba zakonskih rješenja i to</w:t>
      </w:r>
      <w:r>
        <w:rPr>
          <w:color w:val="000000" w:themeColor="text1"/>
        </w:rPr>
        <w:t xml:space="preserve"> </w:t>
      </w:r>
      <w:r w:rsidRPr="00752B61">
        <w:t>Pravilnik o planiranju u sustavu proračuna (Narodne novine 1/24)</w:t>
      </w:r>
      <w:r>
        <w:t>,</w:t>
      </w:r>
      <w:r w:rsidRPr="00300F20">
        <w:rPr>
          <w:color w:val="000000" w:themeColor="text1"/>
        </w:rPr>
        <w:t xml:space="preserve"> Pravilnikom o proračunskim klasifikacijama (Narodne novine </w:t>
      </w:r>
      <w:r>
        <w:rPr>
          <w:color w:val="000000" w:themeColor="text1"/>
        </w:rPr>
        <w:t>4/24</w:t>
      </w:r>
      <w:r w:rsidRPr="00300F20">
        <w:rPr>
          <w:color w:val="000000" w:themeColor="text1"/>
        </w:rPr>
        <w:t xml:space="preserve">), Pravilnikom o proračunskom računovodstvu i računskom planu (Narodne novine br. </w:t>
      </w:r>
      <w:r>
        <w:rPr>
          <w:color w:val="000000" w:themeColor="text1"/>
        </w:rPr>
        <w:t>158/23</w:t>
      </w:r>
      <w:r w:rsidRPr="00300F20">
        <w:rPr>
          <w:color w:val="000000" w:themeColor="text1"/>
        </w:rPr>
        <w:t>),</w:t>
      </w:r>
      <w:r>
        <w:rPr>
          <w:color w:val="000000" w:themeColor="text1"/>
        </w:rPr>
        <w:t xml:space="preserve"> Pravilnikom o korištenju sredstava Europske unije  ( Narodne novine 44/24 ),Uredbom o načinu ocjene i postupku odobravanja investicijskih projekata ( Narodne novine 158/23 ), </w:t>
      </w:r>
      <w:r w:rsidRPr="00300F20">
        <w:rPr>
          <w:color w:val="000000" w:themeColor="text1"/>
        </w:rPr>
        <w:t xml:space="preserve">a osobito Zakonom o fiskalnoj odgovornosti (Narodne novine br. 111/18 i 83/23) kojim se uređuju pravila kojima se ograničava i jača odgovornost za zakonito, namjensko i svrhovito korištenje proračunskih sredstava te jača sustav kontrola i </w:t>
      </w:r>
      <w:proofErr w:type="spellStart"/>
      <w:r w:rsidRPr="00300F20">
        <w:rPr>
          <w:color w:val="000000" w:themeColor="text1"/>
        </w:rPr>
        <w:t>nadzora.</w:t>
      </w:r>
      <w:r w:rsidRPr="00BD3940">
        <w:t>Izrada</w:t>
      </w:r>
      <w:proofErr w:type="spellEnd"/>
      <w:r w:rsidRPr="00BD3940">
        <w:t xml:space="preserve"> financijskih planova zasniva se na proračunskim načelima jedinstva i točnosti, proračunske godine, višegodišnjeg planiranja, uravnoteženosti, univerzalnosti, dobrog financijskog upravljanja i transparentnosti.  Financijski plan </w:t>
      </w:r>
      <w:r w:rsidR="008E6C6B">
        <w:t>Instituta za arheologiju</w:t>
      </w:r>
      <w:r w:rsidRPr="00BD3940">
        <w:t xml:space="preserve"> čine prihodi i primici, te</w:t>
      </w:r>
      <w:r w:rsidRPr="00BD3940">
        <w:rPr>
          <w:b/>
        </w:rPr>
        <w:t xml:space="preserve"> </w:t>
      </w:r>
      <w:r w:rsidRPr="00BD3940">
        <w:t>rashodi i izdaci raspoređeni u programe koji se sastoje od aktivnosti i projekata, a iskazani su prema ekonomskoj i funkcijskoj klasifikaciji te izvorima financiranja.</w:t>
      </w:r>
    </w:p>
    <w:p w:rsidR="00FC5035" w:rsidRPr="00FC5035" w:rsidRDefault="00FC5035" w:rsidP="00FC50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Prijedlog financijskog plana Instituta za arheologiju za 202</w:t>
      </w:r>
      <w:r w:rsidR="002E743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FC5035">
        <w:rPr>
          <w:rFonts w:ascii="Times New Roman" w:hAnsi="Times New Roman" w:cs="Times New Roman"/>
          <w:sz w:val="24"/>
          <w:szCs w:val="24"/>
          <w:lang w:val="hr-HR"/>
        </w:rPr>
        <w:t>. godinu i projekcija za 202</w:t>
      </w:r>
      <w:r w:rsidR="002E743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FC5035">
        <w:rPr>
          <w:rFonts w:ascii="Times New Roman" w:hAnsi="Times New Roman" w:cs="Times New Roman"/>
          <w:sz w:val="24"/>
          <w:szCs w:val="24"/>
          <w:lang w:val="hr-HR"/>
        </w:rPr>
        <w:t>. i 202</w:t>
      </w:r>
      <w:r w:rsidR="002E7431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FC5035">
        <w:rPr>
          <w:rFonts w:ascii="Times New Roman" w:hAnsi="Times New Roman" w:cs="Times New Roman"/>
          <w:sz w:val="24"/>
          <w:szCs w:val="24"/>
          <w:lang w:val="hr-HR"/>
        </w:rPr>
        <w:t>. godinu sadrže: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prihode i  primitke po izvorima i vrstama;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rashode i izdatke prema proračunskim klasifikacijama;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obrazloženje prijedloga financijskog plana;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prijenos sredstava iz prethodne u sljedeću godinu i</w:t>
      </w:r>
    </w:p>
    <w:p w:rsidR="008E57A0" w:rsidRDefault="00FC5035" w:rsidP="00C027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E7E83">
        <w:rPr>
          <w:rFonts w:ascii="Times New Roman" w:hAnsi="Times New Roman" w:cs="Times New Roman"/>
          <w:sz w:val="24"/>
          <w:szCs w:val="24"/>
          <w:lang w:val="hr-HR"/>
        </w:rPr>
        <w:t>ukupne i dospjele obveze</w:t>
      </w:r>
    </w:p>
    <w:p w:rsidR="008E57A0" w:rsidRPr="001210BA" w:rsidRDefault="008E57A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PRIHODI I PRIMITCI</w:t>
      </w:r>
    </w:p>
    <w:p w:rsidR="008E57A0" w:rsidRPr="001210BA" w:rsidRDefault="008E57A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Ukupno 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planirani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prihodi za 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115965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iznose </w:t>
      </w:r>
      <w:r w:rsidR="00B9215E">
        <w:rPr>
          <w:rFonts w:ascii="Times New Roman" w:hAnsi="Times New Roman" w:cs="Times New Roman"/>
          <w:b/>
          <w:sz w:val="24"/>
          <w:szCs w:val="24"/>
          <w:lang w:val="hr-HR"/>
        </w:rPr>
        <w:t>1.</w:t>
      </w:r>
      <w:r w:rsidR="00115965">
        <w:rPr>
          <w:rFonts w:ascii="Times New Roman" w:hAnsi="Times New Roman" w:cs="Times New Roman"/>
          <w:b/>
          <w:sz w:val="24"/>
          <w:szCs w:val="24"/>
          <w:lang w:val="hr-HR"/>
        </w:rPr>
        <w:t>899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A642F">
        <w:rPr>
          <w:rFonts w:ascii="Times New Roman" w:hAnsi="Times New Roman" w:cs="Times New Roman"/>
          <w:b/>
          <w:sz w:val="24"/>
          <w:szCs w:val="24"/>
          <w:lang w:val="hr-HR"/>
        </w:rPr>
        <w:t>8</w:t>
      </w:r>
      <w:r w:rsidR="00115965">
        <w:rPr>
          <w:rFonts w:ascii="Times New Roman" w:hAnsi="Times New Roman" w:cs="Times New Roman"/>
          <w:b/>
          <w:sz w:val="24"/>
          <w:szCs w:val="24"/>
          <w:lang w:val="hr-HR"/>
        </w:rPr>
        <w:t>65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,00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EUR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–a.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8E57A0" w:rsidRPr="001210BA" w:rsidRDefault="008E57A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>Prihodi su ostvareni iz izvora: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E57A0" w:rsidRPr="001210BA" w:rsidTr="001C2724">
        <w:tc>
          <w:tcPr>
            <w:tcW w:w="562" w:type="dxa"/>
            <w:vAlign w:val="center"/>
          </w:tcPr>
          <w:p w:rsidR="008E57A0" w:rsidRPr="001210BA" w:rsidRDefault="008E57A0" w:rsidP="008E5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479" w:type="dxa"/>
            <w:vAlign w:val="center"/>
          </w:tcPr>
          <w:p w:rsidR="008E57A0" w:rsidRPr="001210BA" w:rsidRDefault="008E57A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 – Opći prihodi i primitci, račun 671 – Prihodi iz nadležnog proračuna za financiranje redovne</w:t>
            </w:r>
            <w:r w:rsidR="00E5619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programske</w:t>
            </w: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djelatnosti</w:t>
            </w:r>
          </w:p>
          <w:p w:rsidR="001C2724" w:rsidRPr="001210BA" w:rsidRDefault="001C27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8E57A0" w:rsidRPr="001210BA" w:rsidRDefault="00FC5035" w:rsidP="001159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  <w:r w:rsidR="001159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518</w:t>
            </w:r>
            <w:r w:rsidR="00B921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1159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680</w:t>
            </w:r>
            <w:r w:rsidR="0026555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,00</w:t>
            </w:r>
          </w:p>
        </w:tc>
      </w:tr>
      <w:tr w:rsidR="008E57A0" w:rsidRPr="001210BA" w:rsidTr="001C2724">
        <w:tc>
          <w:tcPr>
            <w:tcW w:w="562" w:type="dxa"/>
            <w:vAlign w:val="center"/>
          </w:tcPr>
          <w:p w:rsidR="008E57A0" w:rsidRPr="001210BA" w:rsidRDefault="00E56194" w:rsidP="008E5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8E57A0"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5479" w:type="dxa"/>
            <w:vAlign w:val="center"/>
          </w:tcPr>
          <w:p w:rsidR="008E57A0" w:rsidRPr="001210BA" w:rsidRDefault="008E57A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 – Vlastiti prihodi, račun 6614 – Prihodi od prodaje proizvoda i 6615 – Prihodi od prodaje usluga</w:t>
            </w:r>
          </w:p>
          <w:p w:rsidR="001C2724" w:rsidRPr="001210BA" w:rsidRDefault="001C27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8E57A0" w:rsidRPr="001210BA" w:rsidRDefault="00115965" w:rsidP="008E57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161</w:t>
            </w:r>
            <w:r w:rsidR="009148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.000,00</w:t>
            </w:r>
          </w:p>
        </w:tc>
      </w:tr>
      <w:tr w:rsidR="008E57A0" w:rsidRPr="001210BA" w:rsidTr="001C2724">
        <w:tc>
          <w:tcPr>
            <w:tcW w:w="562" w:type="dxa"/>
            <w:vAlign w:val="center"/>
          </w:tcPr>
          <w:p w:rsidR="008E57A0" w:rsidRPr="001210BA" w:rsidRDefault="00E56194" w:rsidP="008E5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1C2724"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5479" w:type="dxa"/>
            <w:vAlign w:val="center"/>
          </w:tcPr>
          <w:p w:rsidR="008E57A0" w:rsidRPr="001210BA" w:rsidRDefault="008E57A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 – Ostale pomoći i darovnice</w:t>
            </w:r>
            <w:r w:rsidR="001C2724"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račun 6361 – Tekuće pomoći iz proračuna JLPS i 6391 – Prijenosi između proračunskih korisnika istog proračuna</w:t>
            </w:r>
          </w:p>
        </w:tc>
        <w:tc>
          <w:tcPr>
            <w:tcW w:w="3021" w:type="dxa"/>
            <w:vAlign w:val="center"/>
          </w:tcPr>
          <w:p w:rsidR="008E57A0" w:rsidRPr="001210BA" w:rsidRDefault="00115965" w:rsidP="001159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</w:t>
            </w:r>
            <w:r w:rsidR="009148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185</w:t>
            </w:r>
            <w:r w:rsidR="0091487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,00</w:t>
            </w:r>
          </w:p>
        </w:tc>
      </w:tr>
      <w:tr w:rsidR="00B9215E" w:rsidRPr="001210BA" w:rsidTr="001C2724">
        <w:tc>
          <w:tcPr>
            <w:tcW w:w="562" w:type="dxa"/>
            <w:vAlign w:val="center"/>
          </w:tcPr>
          <w:p w:rsidR="00B9215E" w:rsidRDefault="00B9215E" w:rsidP="00B9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5479" w:type="dxa"/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</w:t>
            </w: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Pr="00B921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Mehanizam za oporavak i otpornost</w:t>
            </w:r>
          </w:p>
        </w:tc>
        <w:tc>
          <w:tcPr>
            <w:tcW w:w="3021" w:type="dxa"/>
            <w:vAlign w:val="center"/>
          </w:tcPr>
          <w:p w:rsidR="00B9215E" w:rsidRPr="001210BA" w:rsidRDefault="00115965" w:rsidP="0011596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80</w:t>
            </w:r>
            <w:r w:rsidR="009A64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000</w:t>
            </w:r>
            <w:r w:rsidR="009A64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B921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</w:p>
        </w:tc>
      </w:tr>
    </w:tbl>
    <w:p w:rsidR="00BE7E83" w:rsidRDefault="00BE7E83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C2724" w:rsidRPr="001210BA" w:rsidRDefault="00BE7E8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</w:t>
      </w:r>
      <w:r w:rsidR="008E6C6B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1C2724" w:rsidRPr="001210BA">
        <w:rPr>
          <w:rFonts w:ascii="Times New Roman" w:hAnsi="Times New Roman" w:cs="Times New Roman"/>
          <w:b/>
          <w:sz w:val="24"/>
          <w:szCs w:val="24"/>
          <w:lang w:val="hr-HR"/>
        </w:rPr>
        <w:t>SHODI I IZDATCI</w:t>
      </w:r>
    </w:p>
    <w:p w:rsidR="00BB21C3" w:rsidRPr="001210BA" w:rsidRDefault="00BB21C3" w:rsidP="00BB21C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Ukupno 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planirani 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rashodi za 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>202</w:t>
      </w:r>
      <w:r w:rsidR="00115965">
        <w:rPr>
          <w:rFonts w:ascii="Times New Roman" w:hAnsi="Times New Roman" w:cs="Times New Roman"/>
          <w:b/>
          <w:sz w:val="24"/>
          <w:szCs w:val="24"/>
          <w:lang w:val="hr-HR"/>
        </w:rPr>
        <w:t>5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iznose </w:t>
      </w:r>
      <w:r w:rsidR="00115965">
        <w:rPr>
          <w:rFonts w:ascii="Times New Roman" w:hAnsi="Times New Roman" w:cs="Times New Roman"/>
          <w:b/>
          <w:sz w:val="24"/>
          <w:szCs w:val="24"/>
          <w:lang w:val="hr-HR"/>
        </w:rPr>
        <w:t>2.128.180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>,00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EUR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>-a.</w:t>
      </w:r>
    </w:p>
    <w:p w:rsidR="00BB21C3" w:rsidRPr="001210BA" w:rsidRDefault="00BB21C3" w:rsidP="00BB21C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>Rashodi su ostvareni iz izvora i skupina: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5945"/>
        <w:gridCol w:w="2551"/>
      </w:tblGrid>
      <w:tr w:rsidR="00BB21C3" w:rsidRPr="001210BA" w:rsidTr="00A83001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BB21C3" w:rsidRPr="001210BA" w:rsidRDefault="00BB21C3" w:rsidP="005C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Izvor/skupina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21C3" w:rsidRPr="001210BA" w:rsidRDefault="00BB21C3" w:rsidP="005C0A3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B21C3" w:rsidRPr="001210BA" w:rsidTr="00A83001">
        <w:trPr>
          <w:trHeight w:val="397"/>
        </w:trPr>
        <w:tc>
          <w:tcPr>
            <w:tcW w:w="57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4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11 – Opći prihodi i primitci</w:t>
            </w: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914874" w:rsidP="00307AF7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1.</w:t>
            </w:r>
            <w:r w:rsidR="00307AF7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518</w:t>
            </w:r>
            <w:r w:rsidR="00B921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  <w:r w:rsidR="00307AF7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680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1.1.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9215E" w:rsidP="00307AF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</w:t>
            </w:r>
            <w:r w:rsidR="00307AF7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437</w:t>
            </w:r>
            <w:r w:rsidR="00A8300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  <w:r w:rsidR="00307AF7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000</w:t>
            </w:r>
            <w:r w:rsidR="0091487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1.2.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D326CF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307AF7" w:rsidP="00BB21C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81.000</w:t>
            </w:r>
            <w:r w:rsidR="0091487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1.3.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D326CF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34 – Financijski rashod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307AF7" w:rsidP="00864C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680</w:t>
            </w:r>
            <w:r w:rsidR="0091487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1.4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B21C3" w:rsidRPr="001210BA" w:rsidRDefault="00D326CF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B21C3" w:rsidRPr="001210BA" w:rsidRDefault="00307AF7" w:rsidP="00BB21C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</w:t>
            </w:r>
          </w:p>
        </w:tc>
      </w:tr>
      <w:tr w:rsidR="00BB21C3" w:rsidRPr="001210BA" w:rsidTr="00A83001">
        <w:trPr>
          <w:trHeight w:val="397"/>
        </w:trPr>
        <w:tc>
          <w:tcPr>
            <w:tcW w:w="57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31 – Vlastiti prihodi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531A0D" w:rsidP="00307AF7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3</w:t>
            </w:r>
            <w:r w:rsidR="00307AF7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58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  <w:r w:rsidR="00307AF7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000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,00</w:t>
            </w:r>
          </w:p>
        </w:tc>
      </w:tr>
      <w:tr w:rsidR="00D326CF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</w:tcBorders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2.1.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</w:tcBorders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</w:tcBorders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28.000,00</w:t>
            </w:r>
          </w:p>
        </w:tc>
      </w:tr>
      <w:tr w:rsidR="00D326CF" w:rsidRPr="001210BA" w:rsidTr="00A83001">
        <w:tc>
          <w:tcPr>
            <w:tcW w:w="576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2.2.</w:t>
            </w:r>
          </w:p>
        </w:tc>
        <w:tc>
          <w:tcPr>
            <w:tcW w:w="5945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207.020,00</w:t>
            </w:r>
          </w:p>
        </w:tc>
      </w:tr>
      <w:tr w:rsidR="00D326CF" w:rsidRPr="001210BA" w:rsidTr="00A83001">
        <w:tc>
          <w:tcPr>
            <w:tcW w:w="576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2.3.</w:t>
            </w:r>
          </w:p>
        </w:tc>
        <w:tc>
          <w:tcPr>
            <w:tcW w:w="5945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34 – Financijski rashod</w:t>
            </w:r>
          </w:p>
        </w:tc>
        <w:tc>
          <w:tcPr>
            <w:tcW w:w="2551" w:type="dxa"/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200,00</w:t>
            </w:r>
          </w:p>
        </w:tc>
      </w:tr>
      <w:tr w:rsidR="00D326CF" w:rsidRPr="001210BA" w:rsidTr="00A83001">
        <w:tc>
          <w:tcPr>
            <w:tcW w:w="576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2.4</w:t>
            </w:r>
          </w:p>
        </w:tc>
        <w:tc>
          <w:tcPr>
            <w:tcW w:w="5945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65.200,00</w:t>
            </w:r>
          </w:p>
        </w:tc>
      </w:tr>
      <w:tr w:rsidR="00D326CF" w:rsidRPr="001210BA" w:rsidTr="00A83001">
        <w:trPr>
          <w:trHeight w:val="397"/>
        </w:trPr>
        <w:tc>
          <w:tcPr>
            <w:tcW w:w="57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D326CF" w:rsidRPr="001210BA" w:rsidRDefault="00CF6AED" w:rsidP="005C0A3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3</w:t>
            </w:r>
            <w:r w:rsidR="00D326CF"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52 – Ostale pomoći i darovnice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D326CF" w:rsidRPr="001210BA" w:rsidRDefault="00307AF7" w:rsidP="00307AF7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171</w:t>
            </w:r>
            <w:r w:rsidR="00CF6AE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5</w:t>
            </w:r>
            <w:r w:rsidR="00CF6AED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00,00</w:t>
            </w:r>
          </w:p>
        </w:tc>
      </w:tr>
      <w:tr w:rsidR="00D326CF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F6AED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</w:t>
            </w:r>
            <w:r w:rsidR="00D326CF"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.1.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D326CF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758A4" w:rsidP="00307AF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</w:t>
            </w:r>
            <w:r w:rsidR="00307AF7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07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  <w:r w:rsidR="00307AF7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00,00</w:t>
            </w:r>
          </w:p>
        </w:tc>
      </w:tr>
      <w:tr w:rsidR="00D326CF" w:rsidRPr="001210BA" w:rsidTr="00A83001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F6AED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</w:t>
            </w:r>
            <w:r w:rsidR="00D326CF"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.2.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D326CF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307AF7" w:rsidP="00307AF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61</w:t>
            </w:r>
            <w:r w:rsidR="00C758A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</w:t>
            </w:r>
            <w:r w:rsidR="00C758A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00,00</w:t>
            </w:r>
          </w:p>
        </w:tc>
      </w:tr>
      <w:tr w:rsidR="00A83001" w:rsidRPr="001210BA" w:rsidTr="00A83001">
        <w:tc>
          <w:tcPr>
            <w:tcW w:w="576" w:type="dxa"/>
            <w:tcBorders>
              <w:top w:val="single" w:sz="4" w:space="0" w:color="F2F2F2" w:themeColor="background1" w:themeShade="F2"/>
            </w:tcBorders>
            <w:vAlign w:val="center"/>
          </w:tcPr>
          <w:p w:rsidR="00A83001" w:rsidRPr="001210BA" w:rsidRDefault="00A83001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3.3.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</w:tcBorders>
            <w:vAlign w:val="center"/>
          </w:tcPr>
          <w:p w:rsidR="00A83001" w:rsidRPr="001210BA" w:rsidRDefault="00A83001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37 - </w:t>
            </w:r>
            <w:r w:rsidRPr="00A8300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Naknade građanima i kućanstvima na temelju osiguranja i druge naknade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</w:tcBorders>
            <w:vAlign w:val="center"/>
          </w:tcPr>
          <w:p w:rsidR="00A83001" w:rsidRDefault="00307AF7" w:rsidP="00BE7E8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</w:t>
            </w:r>
            <w:r w:rsidR="00A8300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  <w:r w:rsidR="00BE7E83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</w:t>
            </w:r>
            <w:r w:rsidR="00A8300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00,00</w:t>
            </w:r>
          </w:p>
        </w:tc>
      </w:tr>
      <w:tr w:rsidR="00D326CF" w:rsidRPr="001210BA" w:rsidTr="00B9215E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A83001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3.4</w:t>
            </w:r>
            <w:r w:rsidR="00D326CF"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D326CF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BE7E83" w:rsidP="005C0A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</w:t>
            </w:r>
            <w:r w:rsidR="00C758A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500,00</w:t>
            </w:r>
          </w:p>
        </w:tc>
      </w:tr>
      <w:tr w:rsidR="00B9215E" w:rsidRPr="001210BA" w:rsidTr="00B9215E">
        <w:trPr>
          <w:trHeight w:val="43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4</w:t>
            </w: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58</w:t>
            </w: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 xml:space="preserve"> – </w:t>
            </w:r>
            <w:r w:rsidRPr="00B921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Mehanizam za oporavak i otpornost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15E" w:rsidRPr="001210BA" w:rsidRDefault="00BE7E83" w:rsidP="00BE7E83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80</w:t>
            </w:r>
            <w:r w:rsidR="00B921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000</w:t>
            </w:r>
            <w:r w:rsidR="00B921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,00</w:t>
            </w:r>
          </w:p>
        </w:tc>
      </w:tr>
      <w:tr w:rsidR="00B9215E" w:rsidRPr="001210BA" w:rsidTr="004C4F45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4.1</w:t>
            </w: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E7E83" w:rsidP="00BE7E8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70</w:t>
            </w:r>
            <w:r w:rsidR="00B9215E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00</w:t>
            </w:r>
            <w:r w:rsidR="00B9215E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B9215E" w:rsidRPr="001210BA" w:rsidTr="004C4F45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4.2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E7E83" w:rsidP="00B921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10.000,00</w:t>
            </w:r>
          </w:p>
        </w:tc>
      </w:tr>
    </w:tbl>
    <w:p w:rsidR="001C2724" w:rsidRPr="001210BA" w:rsidRDefault="001C2724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7E83" w:rsidRDefault="00BE7E83" w:rsidP="00C758A4">
      <w:pPr>
        <w:jc w:val="both"/>
        <w:rPr>
          <w:lang w:val="hr-HR"/>
        </w:rPr>
      </w:pPr>
    </w:p>
    <w:p w:rsidR="00BE7E83" w:rsidRDefault="00BE7E83" w:rsidP="00C758A4">
      <w:pPr>
        <w:jc w:val="both"/>
        <w:rPr>
          <w:lang w:val="hr-HR"/>
        </w:rPr>
      </w:pPr>
    </w:p>
    <w:p w:rsidR="00C758A4" w:rsidRDefault="00C758A4" w:rsidP="00C758A4">
      <w:pPr>
        <w:jc w:val="both"/>
        <w:rPr>
          <w:lang w:val="hr-HR"/>
        </w:rPr>
      </w:pPr>
      <w:r w:rsidRPr="00923C98">
        <w:rPr>
          <w:lang w:val="hr-HR"/>
        </w:rPr>
        <w:lastRenderedPageBreak/>
        <w:t>Prijedlog financijskog plana Instituta za arheologiju sastavljen je temeljem Upute o izradi prijedloga financijskog plana razdjela 080 – Ministarstvo znanosti i obrazovanja za razdoblje 20</w:t>
      </w:r>
      <w:r>
        <w:rPr>
          <w:lang w:val="hr-HR"/>
        </w:rPr>
        <w:t>2</w:t>
      </w:r>
      <w:r w:rsidR="008E6C6B">
        <w:rPr>
          <w:lang w:val="hr-HR"/>
        </w:rPr>
        <w:t>5</w:t>
      </w:r>
      <w:r w:rsidRPr="00923C98">
        <w:rPr>
          <w:lang w:val="hr-HR"/>
        </w:rPr>
        <w:t>–202</w:t>
      </w:r>
      <w:r w:rsidR="008E6C6B">
        <w:rPr>
          <w:lang w:val="hr-HR"/>
        </w:rPr>
        <w:t>7</w:t>
      </w:r>
      <w:r w:rsidRPr="00923C98">
        <w:rPr>
          <w:lang w:val="hr-HR"/>
        </w:rPr>
        <w:t xml:space="preserve">. godine od </w:t>
      </w:r>
      <w:r w:rsidR="008E6C6B">
        <w:rPr>
          <w:lang w:val="hr-HR"/>
        </w:rPr>
        <w:t>4.studenog</w:t>
      </w:r>
      <w:r w:rsidRPr="00923C98">
        <w:rPr>
          <w:lang w:val="hr-HR"/>
        </w:rPr>
        <w:t xml:space="preserve"> 20</w:t>
      </w:r>
      <w:r>
        <w:rPr>
          <w:lang w:val="hr-HR"/>
        </w:rPr>
        <w:t>2</w:t>
      </w:r>
      <w:r w:rsidR="008E6C6B">
        <w:rPr>
          <w:lang w:val="hr-HR"/>
        </w:rPr>
        <w:t>4</w:t>
      </w:r>
      <w:r w:rsidRPr="00923C98">
        <w:rPr>
          <w:lang w:val="hr-HR"/>
        </w:rPr>
        <w:t>. i Dodatne upute o izradi prijedloga financijskog plana korisnika treće razine razdjela 080 – Ministarstvo znanosti i obrazovanja za razdoblje 20</w:t>
      </w:r>
      <w:r>
        <w:rPr>
          <w:lang w:val="hr-HR"/>
        </w:rPr>
        <w:t>2</w:t>
      </w:r>
      <w:r w:rsidR="008E6C6B">
        <w:rPr>
          <w:lang w:val="hr-HR"/>
        </w:rPr>
        <w:t>5</w:t>
      </w:r>
      <w:r w:rsidRPr="00923C98">
        <w:rPr>
          <w:lang w:val="hr-HR"/>
        </w:rPr>
        <w:t>. – 202</w:t>
      </w:r>
      <w:r w:rsidR="008E6C6B">
        <w:rPr>
          <w:lang w:val="hr-HR"/>
        </w:rPr>
        <w:t>7</w:t>
      </w:r>
      <w:r w:rsidRPr="00923C98">
        <w:rPr>
          <w:lang w:val="hr-HR"/>
        </w:rPr>
        <w:t xml:space="preserve">. </w:t>
      </w:r>
      <w:r>
        <w:rPr>
          <w:lang w:val="hr-HR"/>
        </w:rPr>
        <w:t xml:space="preserve">, </w:t>
      </w:r>
      <w:r w:rsidRPr="00923C98">
        <w:rPr>
          <w:lang w:val="hr-HR"/>
        </w:rPr>
        <w:t xml:space="preserve">a prema limitima za aktivnost redovne djelatnosti javnog instituta za izvor financiranja 11 opći prihodi i primici – Institut za arheologiju </w:t>
      </w:r>
    </w:p>
    <w:p w:rsidR="00C758A4" w:rsidRPr="00923C98" w:rsidRDefault="00C758A4" w:rsidP="00C758A4">
      <w:pPr>
        <w:jc w:val="both"/>
        <w:rPr>
          <w:lang w:val="hr-HR"/>
        </w:rPr>
      </w:pPr>
      <w:r w:rsidRPr="00923C98">
        <w:rPr>
          <w:lang w:val="hr-HR"/>
        </w:rPr>
        <w:t>U okviru utvrđenih limita u prijedlogu financijskog plana,</w:t>
      </w:r>
      <w:r w:rsidR="009A642F">
        <w:rPr>
          <w:lang w:val="hr-HR"/>
        </w:rPr>
        <w:t xml:space="preserve"> </w:t>
      </w:r>
      <w:r w:rsidR="00864C0B">
        <w:rPr>
          <w:lang w:val="hr-HR"/>
        </w:rPr>
        <w:t>planirana je aktivnost A</w:t>
      </w:r>
      <w:r w:rsidR="002E7431">
        <w:rPr>
          <w:lang w:val="hr-HR"/>
        </w:rPr>
        <w:t>622150</w:t>
      </w:r>
      <w:r w:rsidRPr="00923C98">
        <w:rPr>
          <w:lang w:val="hr-HR"/>
        </w:rPr>
        <w:t xml:space="preserve"> </w:t>
      </w:r>
      <w:r w:rsidR="00864C0B">
        <w:rPr>
          <w:lang w:val="hr-HR"/>
        </w:rPr>
        <w:t>u kojoj</w:t>
      </w:r>
      <w:r w:rsidRPr="00923C98">
        <w:rPr>
          <w:lang w:val="hr-HR"/>
        </w:rPr>
        <w:t xml:space="preserve"> </w:t>
      </w:r>
      <w:r w:rsidR="00864C0B">
        <w:rPr>
          <w:lang w:val="hr-HR"/>
        </w:rPr>
        <w:t>su</w:t>
      </w:r>
      <w:r w:rsidRPr="00923C98">
        <w:rPr>
          <w:lang w:val="hr-HR"/>
        </w:rPr>
        <w:t xml:space="preserve"> na Izvoru 11 iskazani rashodi za plaće i materijalna prava zaposlenih</w:t>
      </w:r>
      <w:r w:rsidR="00864C0B">
        <w:rPr>
          <w:lang w:val="hr-HR"/>
        </w:rPr>
        <w:t>.</w:t>
      </w:r>
      <w:r w:rsidRPr="00923C98">
        <w:rPr>
          <w:lang w:val="hr-HR"/>
        </w:rPr>
        <w:t xml:space="preserve"> </w:t>
      </w:r>
    </w:p>
    <w:p w:rsidR="00C758A4" w:rsidRDefault="00C758A4" w:rsidP="00C758A4">
      <w:pPr>
        <w:jc w:val="both"/>
        <w:rPr>
          <w:lang w:val="hr-HR"/>
        </w:rPr>
      </w:pPr>
      <w:r>
        <w:rPr>
          <w:lang w:val="hr-HR"/>
        </w:rPr>
        <w:t>U</w:t>
      </w:r>
      <w:r w:rsidRPr="00923C98">
        <w:rPr>
          <w:lang w:val="hr-HR"/>
        </w:rPr>
        <w:t xml:space="preserve"> okviru </w:t>
      </w:r>
      <w:r w:rsidR="00864C0B">
        <w:rPr>
          <w:lang w:val="hr-HR"/>
        </w:rPr>
        <w:t xml:space="preserve"> iste aktivnosti i </w:t>
      </w:r>
      <w:r w:rsidRPr="00923C98">
        <w:rPr>
          <w:lang w:val="hr-HR"/>
        </w:rPr>
        <w:t>Izvora 11 Opći prihodi i primici planiran</w:t>
      </w:r>
      <w:r w:rsidR="00864C0B">
        <w:rPr>
          <w:lang w:val="hr-HR"/>
        </w:rPr>
        <w:t>o je i</w:t>
      </w:r>
      <w:r w:rsidRPr="00923C98">
        <w:rPr>
          <w:lang w:val="hr-HR"/>
        </w:rPr>
        <w:t xml:space="preserve"> </w:t>
      </w:r>
      <w:r w:rsidR="00864C0B">
        <w:rPr>
          <w:lang w:val="hr-HR"/>
        </w:rPr>
        <w:t>p</w:t>
      </w:r>
      <w:r w:rsidRPr="00923C98">
        <w:rPr>
          <w:lang w:val="hr-HR"/>
        </w:rPr>
        <w:t>rogramsko financiranje javnih znanstvenih instituta  (hladni pogon, knjige, časopisi, znanstveni skupovi, popularizacija znanosti, programsko financiranje</w:t>
      </w:r>
      <w:r>
        <w:rPr>
          <w:lang w:val="hr-HR"/>
        </w:rPr>
        <w:t xml:space="preserve"> ).</w:t>
      </w:r>
    </w:p>
    <w:p w:rsidR="00740082" w:rsidRPr="00976D1D" w:rsidRDefault="00740082" w:rsidP="00740082">
      <w:pPr>
        <w:jc w:val="both"/>
        <w:rPr>
          <w:b/>
          <w:lang w:val="hr-HR"/>
        </w:rPr>
      </w:pPr>
      <w:r w:rsidRPr="00976D1D">
        <w:rPr>
          <w:b/>
          <w:lang w:val="hr-HR"/>
        </w:rPr>
        <w:t xml:space="preserve">Planirani vlastiti i namjenski prihodi i primici koji se prenose iz prethodne godine: </w:t>
      </w:r>
      <w:r w:rsidR="00115965">
        <w:rPr>
          <w:b/>
          <w:lang w:val="hr-HR"/>
        </w:rPr>
        <w:t>850.000</w:t>
      </w:r>
      <w:r>
        <w:rPr>
          <w:b/>
          <w:lang w:val="hr-HR"/>
        </w:rPr>
        <w:t>,00 EUR</w:t>
      </w:r>
    </w:p>
    <w:p w:rsidR="00C758A4" w:rsidRPr="00923C98" w:rsidRDefault="00740082" w:rsidP="00C758A4">
      <w:pPr>
        <w:jc w:val="both"/>
        <w:rPr>
          <w:lang w:val="hr-HR"/>
        </w:rPr>
      </w:pPr>
      <w:r w:rsidRPr="00976D1D">
        <w:rPr>
          <w:b/>
          <w:lang w:val="hr-HR"/>
        </w:rPr>
        <w:t>Planirani vlastiti i namjenski prihodi i primici koji se prenose u sljedeću godinu:</w:t>
      </w:r>
      <w:r>
        <w:rPr>
          <w:b/>
          <w:lang w:val="hr-HR"/>
        </w:rPr>
        <w:t xml:space="preserve">     </w:t>
      </w:r>
      <w:r w:rsidR="00115965">
        <w:rPr>
          <w:b/>
          <w:lang w:val="hr-HR"/>
        </w:rPr>
        <w:t>621.685</w:t>
      </w:r>
      <w:r>
        <w:rPr>
          <w:b/>
          <w:lang w:val="hr-HR"/>
        </w:rPr>
        <w:t>,00 EUR.</w:t>
      </w:r>
    </w:p>
    <w:p w:rsidR="00FC5035" w:rsidRDefault="00FC5035" w:rsidP="00245E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E6C6B" w:rsidRDefault="008E6C6B" w:rsidP="00245E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3317"/>
      </w:tblGrid>
      <w:tr w:rsidR="00FC5035" w:rsidRPr="005E2407" w:rsidTr="000535C0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C5035" w:rsidRPr="005E2407" w:rsidRDefault="00FC5035" w:rsidP="00BE7E83">
            <w:pPr>
              <w:jc w:val="both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Stanje obveza na dan 31.12.202</w:t>
            </w:r>
            <w:r w:rsidR="00BE7E83">
              <w:rPr>
                <w:b/>
                <w:lang w:val="hr-HR"/>
              </w:rPr>
              <w:t>3</w:t>
            </w:r>
            <w:r w:rsidRPr="005E2407">
              <w:rPr>
                <w:b/>
                <w:lang w:val="hr-HR"/>
              </w:rPr>
              <w:t>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FC5035" w:rsidRPr="005E2407" w:rsidRDefault="00FC5035" w:rsidP="00BE7E83">
            <w:pPr>
              <w:jc w:val="center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Stanje obveza na dan 30.06.202</w:t>
            </w:r>
            <w:r w:rsidR="00BE7E83">
              <w:rPr>
                <w:b/>
                <w:lang w:val="hr-HR"/>
              </w:rPr>
              <w:t>4</w:t>
            </w:r>
            <w:r w:rsidRPr="005E2407">
              <w:rPr>
                <w:b/>
                <w:lang w:val="hr-HR"/>
              </w:rPr>
              <w:t>.</w:t>
            </w:r>
          </w:p>
        </w:tc>
      </w:tr>
      <w:tr w:rsidR="00FC5035" w:rsidRPr="005E2407" w:rsidTr="000535C0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Ukupne obveze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5035" w:rsidRPr="005E2407" w:rsidRDefault="00BE7E83" w:rsidP="00BE7E83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144</w:t>
            </w:r>
            <w:r w:rsidR="002B519B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815</w:t>
            </w:r>
            <w:r w:rsidR="002B519B">
              <w:rPr>
                <w:b/>
                <w:lang w:val="hr-HR"/>
              </w:rPr>
              <w:t>,</w:t>
            </w:r>
            <w:r>
              <w:rPr>
                <w:b/>
                <w:lang w:val="hr-HR"/>
              </w:rPr>
              <w:t>98</w:t>
            </w:r>
            <w:bookmarkStart w:id="0" w:name="_GoBack"/>
            <w:bookmarkEnd w:id="0"/>
            <w:r w:rsidR="002B519B">
              <w:rPr>
                <w:b/>
                <w:lang w:val="hr-HR"/>
              </w:rPr>
              <w:t xml:space="preserve"> eura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FC5035" w:rsidRPr="005E2407" w:rsidRDefault="00BE7E83" w:rsidP="00BE7E83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140</w:t>
            </w:r>
            <w:r w:rsidR="002B519B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938</w:t>
            </w:r>
            <w:r w:rsidR="002B519B">
              <w:rPr>
                <w:b/>
                <w:lang w:val="hr-HR"/>
              </w:rPr>
              <w:t>,</w:t>
            </w:r>
            <w:r>
              <w:rPr>
                <w:b/>
                <w:lang w:val="hr-HR"/>
              </w:rPr>
              <w:t>00</w:t>
            </w:r>
            <w:r w:rsidR="002B519B">
              <w:rPr>
                <w:b/>
                <w:lang w:val="hr-HR"/>
              </w:rPr>
              <w:t xml:space="preserve"> eura</w:t>
            </w:r>
          </w:p>
        </w:tc>
      </w:tr>
      <w:tr w:rsidR="00FC5035" w:rsidRPr="005E2407" w:rsidTr="000535C0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Dospjele obveze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</w:p>
        </w:tc>
      </w:tr>
    </w:tbl>
    <w:p w:rsidR="00245E1D" w:rsidRPr="001210BA" w:rsidRDefault="00245E1D" w:rsidP="00245E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221A7" w:rsidRPr="001210BA" w:rsidRDefault="006221A7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221A7" w:rsidRPr="001210BA" w:rsidRDefault="006221A7" w:rsidP="00BB21C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Zagreb, </w:t>
      </w:r>
      <w:r w:rsidR="008E6C6B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E6C6B">
        <w:rPr>
          <w:rFonts w:ascii="Times New Roman" w:hAnsi="Times New Roman" w:cs="Times New Roman"/>
          <w:sz w:val="24"/>
          <w:szCs w:val="24"/>
          <w:lang w:val="hr-HR"/>
        </w:rPr>
        <w:t>studeni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8E6C6B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>.</w:t>
      </w:r>
    </w:p>
    <w:tbl>
      <w:tblPr>
        <w:tblStyle w:val="Reetkatablice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538"/>
      </w:tblGrid>
      <w:tr w:rsidR="0075155B" w:rsidTr="0075155B">
        <w:tc>
          <w:tcPr>
            <w:tcW w:w="3686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515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Osoba za kontakt</w:t>
            </w:r>
          </w:p>
        </w:tc>
      </w:tr>
      <w:tr w:rsidR="0075155B" w:rsidTr="0075155B">
        <w:tc>
          <w:tcPr>
            <w:tcW w:w="3686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515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Zrinka Raos</w:t>
            </w:r>
          </w:p>
        </w:tc>
      </w:tr>
      <w:tr w:rsidR="0075155B" w:rsidTr="0075155B">
        <w:tc>
          <w:tcPr>
            <w:tcW w:w="3686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515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mobitela 091 4566 505</w:t>
            </w:r>
          </w:p>
        </w:tc>
      </w:tr>
    </w:tbl>
    <w:p w:rsidR="006221A7" w:rsidRPr="001210BA" w:rsidRDefault="006221A7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221A7" w:rsidRPr="0012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847"/>
    <w:multiLevelType w:val="hybridMultilevel"/>
    <w:tmpl w:val="25E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0DA"/>
    <w:multiLevelType w:val="hybridMultilevel"/>
    <w:tmpl w:val="30E2D2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0"/>
    <w:rsid w:val="000D57CF"/>
    <w:rsid w:val="00115965"/>
    <w:rsid w:val="001210BA"/>
    <w:rsid w:val="001C2724"/>
    <w:rsid w:val="00245E1D"/>
    <w:rsid w:val="0026555C"/>
    <w:rsid w:val="002B519B"/>
    <w:rsid w:val="002E7431"/>
    <w:rsid w:val="00307AF7"/>
    <w:rsid w:val="004520CE"/>
    <w:rsid w:val="00531A0D"/>
    <w:rsid w:val="006221A7"/>
    <w:rsid w:val="006A49EE"/>
    <w:rsid w:val="00740082"/>
    <w:rsid w:val="00743480"/>
    <w:rsid w:val="0075155B"/>
    <w:rsid w:val="00864C0B"/>
    <w:rsid w:val="008E57A0"/>
    <w:rsid w:val="008E6C6B"/>
    <w:rsid w:val="00914874"/>
    <w:rsid w:val="009A642F"/>
    <w:rsid w:val="00A83001"/>
    <w:rsid w:val="00AF28A1"/>
    <w:rsid w:val="00B9215E"/>
    <w:rsid w:val="00BB21C3"/>
    <w:rsid w:val="00BE7E83"/>
    <w:rsid w:val="00C758A4"/>
    <w:rsid w:val="00CF6AED"/>
    <w:rsid w:val="00D326CF"/>
    <w:rsid w:val="00E56194"/>
    <w:rsid w:val="00F93336"/>
    <w:rsid w:val="00FC5035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9022-3F5A-4854-8F11-4C49EF4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7A0"/>
    <w:pPr>
      <w:ind w:left="720"/>
      <w:contextualSpacing/>
    </w:pPr>
  </w:style>
  <w:style w:type="table" w:styleId="Reetkatablice">
    <w:name w:val="Table Grid"/>
    <w:basedOn w:val="Obinatablica"/>
    <w:uiPriority w:val="39"/>
    <w:rsid w:val="008E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520CE"/>
    <w:pPr>
      <w:spacing w:after="0" w:line="240" w:lineRule="auto"/>
    </w:pPr>
    <w:rPr>
      <w:lang w:val="hr-HR"/>
    </w:rPr>
  </w:style>
  <w:style w:type="paragraph" w:styleId="StandardWeb">
    <w:name w:val="Normal (Web)"/>
    <w:basedOn w:val="Normal"/>
    <w:rsid w:val="0045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2024-11-08T01:45:00Z</dcterms:created>
  <dcterms:modified xsi:type="dcterms:W3CDTF">2024-11-08T02:44:00Z</dcterms:modified>
</cp:coreProperties>
</file>