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43439" w14:textId="751ECF51" w:rsidR="002D444E" w:rsidRPr="00DB7DE4" w:rsidRDefault="00EF05CF" w:rsidP="006200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DE4">
        <w:rPr>
          <w:rFonts w:ascii="Times New Roman" w:hAnsi="Times New Roman" w:cs="Times New Roman"/>
          <w:b/>
          <w:sz w:val="28"/>
          <w:szCs w:val="28"/>
        </w:rPr>
        <w:t>Obrazloženj</w:t>
      </w:r>
      <w:r w:rsidR="00620076" w:rsidRPr="00DB7DE4">
        <w:rPr>
          <w:rFonts w:ascii="Times New Roman" w:hAnsi="Times New Roman" w:cs="Times New Roman"/>
          <w:b/>
          <w:sz w:val="28"/>
          <w:szCs w:val="28"/>
        </w:rPr>
        <w:t>e</w:t>
      </w:r>
      <w:r w:rsidR="00A46CB2" w:rsidRPr="00DB7DE4">
        <w:rPr>
          <w:rFonts w:ascii="Times New Roman" w:hAnsi="Times New Roman" w:cs="Times New Roman"/>
          <w:b/>
          <w:sz w:val="28"/>
          <w:szCs w:val="28"/>
        </w:rPr>
        <w:t xml:space="preserve"> Posebnog dijela</w:t>
      </w:r>
      <w:r w:rsidRPr="00DB7DE4">
        <w:rPr>
          <w:rFonts w:ascii="Times New Roman" w:hAnsi="Times New Roman" w:cs="Times New Roman"/>
          <w:b/>
          <w:sz w:val="28"/>
          <w:szCs w:val="28"/>
        </w:rPr>
        <w:t xml:space="preserve"> financijskog plana</w:t>
      </w:r>
      <w:r w:rsidR="00620076" w:rsidRPr="00DB7DE4">
        <w:rPr>
          <w:rFonts w:ascii="Times New Roman" w:hAnsi="Times New Roman" w:cs="Times New Roman"/>
          <w:b/>
          <w:sz w:val="28"/>
          <w:szCs w:val="28"/>
        </w:rPr>
        <w:t xml:space="preserve"> za razdoblje 2026.-2028.</w:t>
      </w:r>
    </w:p>
    <w:p w14:paraId="6E34301E" w14:textId="52AECCB6" w:rsidR="0070105D" w:rsidRPr="00DB7DE4" w:rsidRDefault="0070105D" w:rsidP="0070105D">
      <w:pPr>
        <w:rPr>
          <w:rFonts w:ascii="Times New Roman" w:hAnsi="Times New Roman" w:cs="Times New Roman"/>
          <w:b/>
          <w:sz w:val="32"/>
          <w:szCs w:val="32"/>
        </w:rPr>
      </w:pPr>
      <w:r w:rsidRPr="00DB7DE4">
        <w:rPr>
          <w:rFonts w:ascii="Times New Roman" w:eastAsia="Times New Roman" w:hAnsi="Times New Roman" w:cs="Times New Roman"/>
          <w:b/>
          <w:sz w:val="32"/>
          <w:szCs w:val="32"/>
        </w:rPr>
        <w:t xml:space="preserve">Institut za arheologiju </w:t>
      </w:r>
    </w:p>
    <w:p w14:paraId="6326DEB1" w14:textId="77777777" w:rsidR="00EF05CF" w:rsidRPr="00DB7DE4" w:rsidRDefault="00EF05CF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</w:rPr>
      </w:pPr>
      <w:r w:rsidRPr="00DB7DE4">
        <w:rPr>
          <w:rFonts w:ascii="Times New Roman" w:hAnsi="Times New Roman" w:cs="Times New Roman"/>
          <w:b/>
          <w:sz w:val="28"/>
        </w:rPr>
        <w:t>Sažetak djelokruga rada proračunskog korisnika</w:t>
      </w:r>
    </w:p>
    <w:p w14:paraId="653A0670" w14:textId="77777777" w:rsidR="00FF45DD" w:rsidRPr="00DB7DE4" w:rsidRDefault="00FF45DD" w:rsidP="00FF45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DE4">
        <w:rPr>
          <w:rFonts w:ascii="Times New Roman" w:hAnsi="Times New Roman" w:cs="Times New Roman"/>
          <w:sz w:val="24"/>
          <w:szCs w:val="24"/>
        </w:rPr>
        <w:t>Osnovna znanstvena djelatnost Instituta za arheologiju je u području humanističkih znanosti, u polju arheologije</w:t>
      </w:r>
      <w:r w:rsidRPr="00DB7D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7DE4">
        <w:rPr>
          <w:rFonts w:ascii="Times New Roman" w:hAnsi="Times New Roman" w:cs="Times New Roman"/>
          <w:sz w:val="24"/>
          <w:szCs w:val="24"/>
        </w:rPr>
        <w:t>kao i njezina integracija u interdisciplinarna istraživanja sa srodnim znanstvenim disciplinama. Institut, kao javna znanstvena ustanova, provodi temeljna i razvojna znanstvena istraživanja od strateškoga nacionalnog interesa za Republiku Hrvatsku. Program Instituta sastoji se od programa trajne znanstvene djelatnosti, ugovornih znanstvenih projekata te programa nakladničke i promidžbene djelatnosti vezane uz arheologiju.</w:t>
      </w:r>
    </w:p>
    <w:p w14:paraId="7E15E43B" w14:textId="77777777" w:rsidR="00FF45DD" w:rsidRPr="00DB7DE4" w:rsidRDefault="00FF45DD" w:rsidP="00935A1C">
      <w:pPr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DB7DE4">
        <w:rPr>
          <w:rFonts w:ascii="Times New Roman" w:hAnsi="Times New Roman" w:cs="Times New Roman"/>
          <w:szCs w:val="24"/>
        </w:rPr>
        <w:t>Djelatnost Instituta obuhvaća:</w:t>
      </w:r>
    </w:p>
    <w:p w14:paraId="28E19AB4" w14:textId="1C09EB5F" w:rsidR="001A3805" w:rsidRPr="00DB7DE4" w:rsidRDefault="001A3805" w:rsidP="00935A1C">
      <w:pPr>
        <w:pStyle w:val="ListParagraph"/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Cs w:val="24"/>
        </w:rPr>
      </w:pPr>
      <w:r w:rsidRPr="00DB7DE4">
        <w:rPr>
          <w:rFonts w:ascii="Times New Roman" w:hAnsi="Times New Roman" w:cs="Times New Roman"/>
          <w:szCs w:val="24"/>
        </w:rPr>
        <w:t xml:space="preserve">obavljanje poslova temeljne znanstvene djelatnosti </w:t>
      </w:r>
      <w:r w:rsidRPr="00DB7DE4">
        <w:rPr>
          <w:rFonts w:ascii="Times New Roman" w:hAnsi="Times New Roman" w:cs="Times New Roman"/>
          <w:color w:val="231F20"/>
          <w:szCs w:val="24"/>
        </w:rPr>
        <w:t xml:space="preserve">utvrđene aktom o osnivanju, provođenje znanstvenih i stručnih projekata, </w:t>
      </w:r>
      <w:r w:rsidRPr="00DB7DE4">
        <w:rPr>
          <w:rFonts w:ascii="Times New Roman" w:hAnsi="Times New Roman" w:cs="Times New Roman"/>
          <w:szCs w:val="24"/>
        </w:rPr>
        <w:t>sustavno objavljivanje rezultata znanstvenih istraživanja,</w:t>
      </w:r>
      <w:r w:rsidRPr="00DB7DE4">
        <w:rPr>
          <w:rFonts w:ascii="Times New Roman" w:hAnsi="Times New Roman" w:cs="Times New Roman"/>
          <w:color w:val="231F20"/>
          <w:szCs w:val="24"/>
        </w:rPr>
        <w:t xml:space="preserve"> sve</w:t>
      </w:r>
      <w:r w:rsidRPr="00DB7DE4">
        <w:rPr>
          <w:rFonts w:ascii="Times New Roman" w:hAnsi="Times New Roman" w:cs="Times New Roman"/>
          <w:szCs w:val="24"/>
        </w:rPr>
        <w:t xml:space="preserve"> u skladu s razvojnom Strategijom znanstvene djelatnosti Instituta za arheologiju</w:t>
      </w:r>
      <w:r w:rsidR="002036EC" w:rsidRPr="00DB7DE4">
        <w:rPr>
          <w:rFonts w:ascii="Times New Roman" w:hAnsi="Times New Roman" w:cs="Times New Roman"/>
          <w:szCs w:val="24"/>
        </w:rPr>
        <w:t>,</w:t>
      </w:r>
    </w:p>
    <w:p w14:paraId="71F8BB30" w14:textId="212815C7" w:rsidR="001A3805" w:rsidRPr="00DB7DE4" w:rsidRDefault="001A3805" w:rsidP="001A3805">
      <w:pPr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Cs w:val="24"/>
        </w:rPr>
      </w:pPr>
      <w:r w:rsidRPr="00DB7DE4">
        <w:rPr>
          <w:rFonts w:ascii="Times New Roman" w:hAnsi="Times New Roman" w:cs="Times New Roman"/>
          <w:szCs w:val="24"/>
        </w:rPr>
        <w:t>sustavna znanstvena i visokostručna istraživanja u području humanističkih znanosti, u polju arheologije i to proučavanje prapovijesnog, antičkog, srednjovjekovnog i novovjekovnog razvoja, prije svega na prostoru Republike Hrvatske, ali i šire, kao i njegovo interpretiranje unutar europskog i šireg internacionalnog konteksta</w:t>
      </w:r>
      <w:r w:rsidR="002036EC" w:rsidRPr="00DB7DE4">
        <w:rPr>
          <w:rFonts w:ascii="Times New Roman" w:hAnsi="Times New Roman" w:cs="Times New Roman"/>
          <w:szCs w:val="24"/>
        </w:rPr>
        <w:t>,</w:t>
      </w:r>
    </w:p>
    <w:p w14:paraId="6E320B6F" w14:textId="1975CA24" w:rsidR="001A3805" w:rsidRPr="00DB7DE4" w:rsidRDefault="001A3805" w:rsidP="001A3805">
      <w:pPr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Cs w:val="24"/>
        </w:rPr>
      </w:pPr>
      <w:r w:rsidRPr="00DB7DE4">
        <w:rPr>
          <w:rFonts w:ascii="Times New Roman" w:hAnsi="Times New Roman" w:cs="Times New Roman"/>
          <w:szCs w:val="24"/>
        </w:rPr>
        <w:t>istraživanja hrvatske arheološke baštine u europskom kontekstu, posebno uz predstavljanje hrvatskog arheološkog nasljeđa</w:t>
      </w:r>
      <w:r w:rsidR="002036EC" w:rsidRPr="00DB7DE4">
        <w:rPr>
          <w:rFonts w:ascii="Times New Roman" w:hAnsi="Times New Roman" w:cs="Times New Roman"/>
          <w:szCs w:val="24"/>
        </w:rPr>
        <w:t>,</w:t>
      </w:r>
    </w:p>
    <w:p w14:paraId="10ED89DA" w14:textId="494A121D" w:rsidR="001A3805" w:rsidRPr="00DB7DE4" w:rsidRDefault="001A3805" w:rsidP="001A3805">
      <w:pPr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Cs w:val="24"/>
        </w:rPr>
      </w:pPr>
      <w:r w:rsidRPr="00DB7DE4">
        <w:rPr>
          <w:rFonts w:ascii="Times New Roman" w:hAnsi="Times New Roman" w:cs="Times New Roman"/>
          <w:szCs w:val="24"/>
        </w:rPr>
        <w:t>znanstvena istraživanja u srodnim poljima u području humanističkih znanosti, kao i u područjima društvenih, biomedicinskih, biotehničkih, prirodnih i tehničkih znanosti u okviru znanstvenog programa i projekata</w:t>
      </w:r>
      <w:r w:rsidR="002036EC" w:rsidRPr="00DB7DE4">
        <w:rPr>
          <w:rFonts w:ascii="Times New Roman" w:hAnsi="Times New Roman" w:cs="Times New Roman"/>
          <w:szCs w:val="24"/>
        </w:rPr>
        <w:t>,</w:t>
      </w:r>
    </w:p>
    <w:p w14:paraId="03CE32A9" w14:textId="2463F5A1" w:rsidR="001A3805" w:rsidRPr="00DB7DE4" w:rsidRDefault="001A3805" w:rsidP="001A3805">
      <w:pPr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Cs w:val="24"/>
        </w:rPr>
      </w:pPr>
      <w:r w:rsidRPr="00DB7DE4">
        <w:rPr>
          <w:rFonts w:ascii="Times New Roman" w:hAnsi="Times New Roman" w:cs="Times New Roman"/>
          <w:szCs w:val="24"/>
        </w:rPr>
        <w:t>razradu teorije i metodologije arheologije kao znanstvene discipline</w:t>
      </w:r>
      <w:r w:rsidR="002036EC" w:rsidRPr="00DB7DE4">
        <w:rPr>
          <w:rFonts w:ascii="Times New Roman" w:hAnsi="Times New Roman" w:cs="Times New Roman"/>
          <w:szCs w:val="24"/>
        </w:rPr>
        <w:t>,</w:t>
      </w:r>
    </w:p>
    <w:p w14:paraId="187A354B" w14:textId="1B1DD86D" w:rsidR="001A3805" w:rsidRPr="00DB7DE4" w:rsidRDefault="001A3805" w:rsidP="001A3805">
      <w:pPr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Cs w:val="24"/>
        </w:rPr>
      </w:pPr>
      <w:r w:rsidRPr="00DB7DE4">
        <w:rPr>
          <w:rFonts w:ascii="Times New Roman" w:hAnsi="Times New Roman" w:cs="Times New Roman"/>
          <w:szCs w:val="24"/>
        </w:rPr>
        <w:t>suradnju sa srodnim znanstvenim i visokoškolskim ustanovama u Republici Hrvatskoj i inozemstvu u provedbi znanstvenih istraživanja te interdisciplinarnih istraživanja u području humanističkih znanosti, odnosno u ostalim područjima znanosti</w:t>
      </w:r>
      <w:r w:rsidR="002036EC" w:rsidRPr="00DB7DE4">
        <w:rPr>
          <w:rFonts w:ascii="Times New Roman" w:hAnsi="Times New Roman" w:cs="Times New Roman"/>
          <w:szCs w:val="24"/>
        </w:rPr>
        <w:t>,</w:t>
      </w:r>
    </w:p>
    <w:p w14:paraId="235B450E" w14:textId="42454021" w:rsidR="001A3805" w:rsidRPr="00DB7DE4" w:rsidRDefault="001A3805" w:rsidP="001A3805">
      <w:pPr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Cs w:val="24"/>
        </w:rPr>
      </w:pPr>
      <w:r w:rsidRPr="00DB7DE4">
        <w:rPr>
          <w:rFonts w:ascii="Times New Roman" w:hAnsi="Times New Roman" w:cs="Times New Roman"/>
          <w:szCs w:val="24"/>
        </w:rPr>
        <w:t>suradnju pri znanstvenom osposobljavanju te održavanju i razvoju znanstvene infrastrukture</w:t>
      </w:r>
      <w:r w:rsidR="002036EC" w:rsidRPr="00DB7DE4">
        <w:rPr>
          <w:rFonts w:ascii="Times New Roman" w:hAnsi="Times New Roman" w:cs="Times New Roman"/>
          <w:szCs w:val="24"/>
        </w:rPr>
        <w:t>,</w:t>
      </w:r>
      <w:r w:rsidRPr="00DB7DE4">
        <w:rPr>
          <w:rFonts w:ascii="Times New Roman" w:hAnsi="Times New Roman" w:cs="Times New Roman"/>
          <w:szCs w:val="24"/>
        </w:rPr>
        <w:t xml:space="preserve"> </w:t>
      </w:r>
    </w:p>
    <w:p w14:paraId="7F74F682" w14:textId="7EAF26D0" w:rsidR="001A3805" w:rsidRPr="00DB7DE4" w:rsidRDefault="001A3805" w:rsidP="001A3805">
      <w:pPr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Cs w:val="24"/>
        </w:rPr>
      </w:pPr>
      <w:r w:rsidRPr="00DB7DE4">
        <w:rPr>
          <w:rFonts w:ascii="Times New Roman" w:hAnsi="Times New Roman" w:cs="Times New Roman"/>
          <w:szCs w:val="24"/>
        </w:rPr>
        <w:t>organizaciju međunarodnih i domaćih znanstvenih i stručnih skupova i radionica</w:t>
      </w:r>
      <w:r w:rsidR="002036EC" w:rsidRPr="00DB7DE4">
        <w:rPr>
          <w:rFonts w:ascii="Times New Roman" w:hAnsi="Times New Roman" w:cs="Times New Roman"/>
          <w:szCs w:val="24"/>
        </w:rPr>
        <w:t>,</w:t>
      </w:r>
    </w:p>
    <w:p w14:paraId="4521E3EB" w14:textId="2713FE02" w:rsidR="001A3805" w:rsidRPr="00DB7DE4" w:rsidRDefault="001A3805" w:rsidP="001A3805">
      <w:pPr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Cs w:val="24"/>
        </w:rPr>
      </w:pPr>
      <w:r w:rsidRPr="00DB7DE4">
        <w:rPr>
          <w:rFonts w:ascii="Times New Roman" w:hAnsi="Times New Roman" w:cs="Times New Roman"/>
          <w:szCs w:val="24"/>
        </w:rPr>
        <w:t>sustavno pribavljanje novih arheoloških izvora i informacija pomoću raznih oblika arheološkog i interdisciplinarnog istraživanja na području Republike Hrvatske i izvan nje putem međunarodne suradnje</w:t>
      </w:r>
      <w:r w:rsidR="002036EC" w:rsidRPr="00DB7DE4">
        <w:rPr>
          <w:rFonts w:ascii="Times New Roman" w:hAnsi="Times New Roman" w:cs="Times New Roman"/>
          <w:szCs w:val="24"/>
        </w:rPr>
        <w:t>,</w:t>
      </w:r>
    </w:p>
    <w:p w14:paraId="4031909A" w14:textId="50E3609B" w:rsidR="001A3805" w:rsidRPr="00DB7DE4" w:rsidRDefault="001A3805" w:rsidP="001A3805">
      <w:pPr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Cs w:val="24"/>
        </w:rPr>
      </w:pPr>
      <w:r w:rsidRPr="00DB7DE4">
        <w:rPr>
          <w:rFonts w:ascii="Times New Roman" w:hAnsi="Times New Roman" w:cs="Times New Roman"/>
          <w:szCs w:val="24"/>
        </w:rPr>
        <w:t>organiziranje i provedbu sustavnih, probnih, revizijskih, zaštitnih arheoloških istraživanja i terenskih pregleda, primjenu interdisciplinarnih istraživanja i neinvazivnih metoda</w:t>
      </w:r>
      <w:r w:rsidR="002036EC" w:rsidRPr="00DB7DE4">
        <w:rPr>
          <w:rFonts w:ascii="Times New Roman" w:hAnsi="Times New Roman" w:cs="Times New Roman"/>
          <w:szCs w:val="24"/>
        </w:rPr>
        <w:t>,</w:t>
      </w:r>
    </w:p>
    <w:p w14:paraId="488542CE" w14:textId="50EB5A3A" w:rsidR="001A3805" w:rsidRPr="00DB7DE4" w:rsidRDefault="001A3805" w:rsidP="001A3805">
      <w:pPr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Cs w:val="24"/>
        </w:rPr>
      </w:pPr>
      <w:r w:rsidRPr="00DB7DE4">
        <w:rPr>
          <w:rFonts w:ascii="Times New Roman" w:hAnsi="Times New Roman" w:cs="Times New Roman"/>
          <w:szCs w:val="24"/>
        </w:rPr>
        <w:t>prikupljanje, sistematizirano arhiviranje i čuvanje podataka prikupljenih tijekom provedbe arheoloških istraživanja i znanstvenih projekata, uspostava Repozitorija Instituta za arheologiju te rad na njemu u okviru ARHINDOKS-a (ARHeološkog INformatičkog DOKumentacijskog Središta)</w:t>
      </w:r>
      <w:r w:rsidR="002036EC" w:rsidRPr="00DB7DE4">
        <w:rPr>
          <w:rFonts w:ascii="Times New Roman" w:hAnsi="Times New Roman" w:cs="Times New Roman"/>
          <w:szCs w:val="24"/>
        </w:rPr>
        <w:t>,</w:t>
      </w:r>
    </w:p>
    <w:p w14:paraId="3B60B107" w14:textId="77777777" w:rsidR="001A3805" w:rsidRPr="00DB7DE4" w:rsidRDefault="001A3805" w:rsidP="001A3805">
      <w:pPr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Cs w:val="24"/>
        </w:rPr>
      </w:pPr>
      <w:r w:rsidRPr="00DB7DE4">
        <w:rPr>
          <w:rFonts w:ascii="Times New Roman" w:hAnsi="Times New Roman" w:cs="Times New Roman"/>
          <w:szCs w:val="24"/>
        </w:rPr>
        <w:t xml:space="preserve">vođenje izdavačke djelatnosti uz objavu temeljnih izvora i rezultata znanstvenoga rada; </w:t>
      </w:r>
    </w:p>
    <w:p w14:paraId="07742B5E" w14:textId="17F942F2" w:rsidR="001A3805" w:rsidRPr="00DB7DE4" w:rsidRDefault="001A3805" w:rsidP="001A3805">
      <w:pPr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Cs w:val="24"/>
        </w:rPr>
      </w:pPr>
      <w:r w:rsidRPr="00DB7DE4">
        <w:rPr>
          <w:rFonts w:ascii="Times New Roman" w:hAnsi="Times New Roman" w:cs="Times New Roman"/>
          <w:szCs w:val="24"/>
        </w:rPr>
        <w:t>knjižno-dokumentacijsku djelatnost</w:t>
      </w:r>
      <w:r w:rsidR="002036EC" w:rsidRPr="00DB7DE4">
        <w:rPr>
          <w:rFonts w:ascii="Times New Roman" w:hAnsi="Times New Roman" w:cs="Times New Roman"/>
          <w:szCs w:val="24"/>
        </w:rPr>
        <w:t>,</w:t>
      </w:r>
    </w:p>
    <w:p w14:paraId="0EB0761D" w14:textId="56ADDE9F" w:rsidR="001A3805" w:rsidRPr="00DB7DE4" w:rsidRDefault="001A3805" w:rsidP="001A3805">
      <w:pPr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Cs w:val="24"/>
        </w:rPr>
      </w:pPr>
      <w:r w:rsidRPr="00DB7DE4">
        <w:rPr>
          <w:rFonts w:ascii="Times New Roman" w:hAnsi="Times New Roman" w:cs="Times New Roman"/>
          <w:szCs w:val="24"/>
        </w:rPr>
        <w:t>ekspertnu elaboraciju i vrednovanje izvorne građe u koju je uključena dokumentacijska, interdisciplinarna laboratorijska i konzervatorska obrada i izrada istraživačkih elaborata</w:t>
      </w:r>
      <w:r w:rsidR="002036EC" w:rsidRPr="00DB7DE4">
        <w:rPr>
          <w:rFonts w:ascii="Times New Roman" w:hAnsi="Times New Roman" w:cs="Times New Roman"/>
          <w:szCs w:val="24"/>
        </w:rPr>
        <w:t>,</w:t>
      </w:r>
    </w:p>
    <w:p w14:paraId="22AFFC85" w14:textId="76884CDF" w:rsidR="001A3805" w:rsidRPr="00DB7DE4" w:rsidRDefault="001A3805" w:rsidP="001A3805">
      <w:pPr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Cs w:val="24"/>
        </w:rPr>
      </w:pPr>
      <w:r w:rsidRPr="00DB7DE4">
        <w:rPr>
          <w:rFonts w:ascii="Times New Roman" w:hAnsi="Times New Roman" w:cs="Times New Roman"/>
          <w:szCs w:val="24"/>
        </w:rPr>
        <w:lastRenderedPageBreak/>
        <w:t>pružanje savjetničkih usluga, izradu elaborata i ekspertiza za potrebe osnivača i drugih naručitelja</w:t>
      </w:r>
      <w:r w:rsidR="002036EC" w:rsidRPr="00DB7DE4">
        <w:rPr>
          <w:rFonts w:ascii="Times New Roman" w:hAnsi="Times New Roman" w:cs="Times New Roman"/>
          <w:szCs w:val="24"/>
        </w:rPr>
        <w:t>,</w:t>
      </w:r>
    </w:p>
    <w:p w14:paraId="547746D1" w14:textId="451E8D47" w:rsidR="001A3805" w:rsidRPr="00DB7DE4" w:rsidRDefault="001A3805" w:rsidP="001A3805">
      <w:pPr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Cs w:val="24"/>
        </w:rPr>
      </w:pPr>
      <w:r w:rsidRPr="00DB7DE4">
        <w:rPr>
          <w:rFonts w:ascii="Times New Roman" w:hAnsi="Times New Roman" w:cs="Times New Roman"/>
          <w:szCs w:val="24"/>
        </w:rPr>
        <w:t>suradnju s ustanovama u kulturi i udrugama</w:t>
      </w:r>
      <w:r w:rsidR="002036EC" w:rsidRPr="00DB7DE4">
        <w:rPr>
          <w:rFonts w:ascii="Times New Roman" w:hAnsi="Times New Roman" w:cs="Times New Roman"/>
          <w:szCs w:val="24"/>
        </w:rPr>
        <w:t>,</w:t>
      </w:r>
      <w:r w:rsidRPr="00DB7DE4">
        <w:rPr>
          <w:rFonts w:ascii="Times New Roman" w:hAnsi="Times New Roman" w:cs="Times New Roman"/>
          <w:szCs w:val="24"/>
        </w:rPr>
        <w:t xml:space="preserve"> </w:t>
      </w:r>
    </w:p>
    <w:p w14:paraId="7EE4AB38" w14:textId="595F222D" w:rsidR="001A3805" w:rsidRPr="00DB7DE4" w:rsidRDefault="001A3805" w:rsidP="001A3805">
      <w:pPr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Cs w:val="24"/>
        </w:rPr>
      </w:pPr>
      <w:r w:rsidRPr="00DB7DE4">
        <w:rPr>
          <w:rFonts w:ascii="Times New Roman" w:hAnsi="Times New Roman" w:cs="Times New Roman"/>
          <w:szCs w:val="24"/>
        </w:rPr>
        <w:t>popularizaciju arheologije i rezultata arheoloških istraživanja</w:t>
      </w:r>
      <w:r w:rsidR="002036EC" w:rsidRPr="00DB7DE4">
        <w:rPr>
          <w:rFonts w:ascii="Times New Roman" w:hAnsi="Times New Roman" w:cs="Times New Roman"/>
          <w:szCs w:val="24"/>
        </w:rPr>
        <w:t>,</w:t>
      </w:r>
    </w:p>
    <w:p w14:paraId="258987BE" w14:textId="77777777" w:rsidR="001A3805" w:rsidRPr="00DB7DE4" w:rsidRDefault="001A3805" w:rsidP="001A3805">
      <w:pPr>
        <w:numPr>
          <w:ilvl w:val="0"/>
          <w:numId w:val="12"/>
        </w:numPr>
        <w:spacing w:before="120" w:after="120" w:line="240" w:lineRule="auto"/>
        <w:jc w:val="both"/>
        <w:rPr>
          <w:rFonts w:ascii="Times New Roman" w:hAnsi="Times New Roman" w:cs="Times New Roman"/>
          <w:szCs w:val="24"/>
        </w:rPr>
      </w:pPr>
      <w:r w:rsidRPr="00DB7DE4">
        <w:rPr>
          <w:rFonts w:ascii="Times New Roman" w:hAnsi="Times New Roman" w:cs="Times New Roman"/>
          <w:szCs w:val="24"/>
        </w:rPr>
        <w:t>koordinaciju i metodologijsko usmjeravanje programa arheoloških istraživanja u Republici Hrvatskoj poštujući međunarodne konvencije i dogovore o zaštiti arheološke baštine.</w:t>
      </w:r>
    </w:p>
    <w:p w14:paraId="28295C5E" w14:textId="158B11CC" w:rsidR="00FF45DD" w:rsidRPr="00DB7DE4" w:rsidRDefault="00FF45DD" w:rsidP="00FF45DD">
      <w:pPr>
        <w:spacing w:before="120" w:line="240" w:lineRule="auto"/>
        <w:jc w:val="both"/>
        <w:rPr>
          <w:rFonts w:ascii="Times New Roman" w:hAnsi="Times New Roman" w:cs="Times New Roman"/>
          <w:sz w:val="24"/>
        </w:rPr>
      </w:pPr>
      <w:r w:rsidRPr="00DB7DE4">
        <w:rPr>
          <w:rFonts w:ascii="Times New Roman" w:hAnsi="Times New Roman" w:cs="Times New Roman"/>
          <w:sz w:val="24"/>
        </w:rPr>
        <w:t>Financijska sredstva za rad Instituta za arheologiju osiguravaju se iz sredstava državnoga proračuna Republike Hrvatske</w:t>
      </w:r>
      <w:r w:rsidR="00A93657" w:rsidRPr="00DB7DE4">
        <w:rPr>
          <w:rFonts w:ascii="Times New Roman" w:hAnsi="Times New Roman" w:cs="Times New Roman"/>
          <w:sz w:val="24"/>
        </w:rPr>
        <w:t xml:space="preserve"> prema Programskom ugovoru i Dodatku I. Programskog ugovora sklopljenim između Ministarstva  znanosti, obrazovanja i mladih i Instituta za arheologiju</w:t>
      </w:r>
      <w:r w:rsidRPr="00DB7DE4">
        <w:rPr>
          <w:rFonts w:ascii="Times New Roman" w:hAnsi="Times New Roman" w:cs="Times New Roman"/>
          <w:sz w:val="24"/>
        </w:rPr>
        <w:t xml:space="preserve">, </w:t>
      </w:r>
      <w:r w:rsidR="00A93657" w:rsidRPr="00DB7DE4">
        <w:rPr>
          <w:rFonts w:ascii="Times New Roman" w:hAnsi="Times New Roman" w:cs="Times New Roman"/>
          <w:sz w:val="24"/>
        </w:rPr>
        <w:t xml:space="preserve">zatim iz </w:t>
      </w:r>
      <w:r w:rsidRPr="00DB7DE4">
        <w:rPr>
          <w:rFonts w:ascii="Times New Roman" w:hAnsi="Times New Roman" w:cs="Times New Roman"/>
          <w:sz w:val="24"/>
        </w:rPr>
        <w:t>sredstava proračuna jedinica lokalne uprave i samouprave</w:t>
      </w:r>
      <w:r w:rsidR="00A93657" w:rsidRPr="00DB7DE4">
        <w:rPr>
          <w:rFonts w:ascii="Times New Roman" w:hAnsi="Times New Roman" w:cs="Times New Roman"/>
          <w:sz w:val="24"/>
        </w:rPr>
        <w:t>,</w:t>
      </w:r>
      <w:r w:rsidRPr="00DB7DE4">
        <w:rPr>
          <w:rFonts w:ascii="Times New Roman" w:hAnsi="Times New Roman" w:cs="Times New Roman"/>
          <w:sz w:val="24"/>
        </w:rPr>
        <w:t xml:space="preserve"> vlastitih prihoda ostvarenih od istraživačkih projekata</w:t>
      </w:r>
      <w:r w:rsidR="00A93657" w:rsidRPr="00DB7DE4">
        <w:rPr>
          <w:rFonts w:ascii="Times New Roman" w:hAnsi="Times New Roman" w:cs="Times New Roman"/>
          <w:sz w:val="24"/>
        </w:rPr>
        <w:t xml:space="preserve"> i</w:t>
      </w:r>
      <w:r w:rsidRPr="00DB7DE4">
        <w:rPr>
          <w:rFonts w:ascii="Times New Roman" w:hAnsi="Times New Roman" w:cs="Times New Roman"/>
          <w:sz w:val="24"/>
        </w:rPr>
        <w:t xml:space="preserve"> nakladničke djelatnosti</w:t>
      </w:r>
      <w:r w:rsidR="00A93657" w:rsidRPr="00DB7DE4">
        <w:rPr>
          <w:rFonts w:ascii="Times New Roman" w:hAnsi="Times New Roman" w:cs="Times New Roman"/>
          <w:sz w:val="24"/>
        </w:rPr>
        <w:t>,</w:t>
      </w:r>
      <w:r w:rsidRPr="00DB7DE4">
        <w:rPr>
          <w:rFonts w:ascii="Times New Roman" w:hAnsi="Times New Roman" w:cs="Times New Roman"/>
          <w:sz w:val="24"/>
        </w:rPr>
        <w:t xml:space="preserve"> Hrvatske zaklade za znanost</w:t>
      </w:r>
      <w:r w:rsidR="00A93657" w:rsidRPr="00DB7DE4">
        <w:rPr>
          <w:rFonts w:ascii="Times New Roman" w:hAnsi="Times New Roman" w:cs="Times New Roman"/>
          <w:sz w:val="24"/>
        </w:rPr>
        <w:t xml:space="preserve"> te</w:t>
      </w:r>
      <w:r w:rsidRPr="00DB7DE4">
        <w:rPr>
          <w:rFonts w:ascii="Times New Roman" w:hAnsi="Times New Roman" w:cs="Times New Roman"/>
          <w:sz w:val="24"/>
        </w:rPr>
        <w:t xml:space="preserve"> međunarodnih projekata. </w:t>
      </w:r>
    </w:p>
    <w:p w14:paraId="55C93B8B" w14:textId="1BE960DB" w:rsidR="00FF45DD" w:rsidRPr="00DB7DE4" w:rsidRDefault="00FF45DD" w:rsidP="00FF45DD">
      <w:pPr>
        <w:spacing w:before="120" w:line="240" w:lineRule="auto"/>
        <w:jc w:val="both"/>
        <w:rPr>
          <w:rFonts w:ascii="Times New Roman" w:hAnsi="Times New Roman" w:cs="Times New Roman"/>
          <w:sz w:val="24"/>
        </w:rPr>
      </w:pPr>
      <w:r w:rsidRPr="00DB7DE4">
        <w:rPr>
          <w:rFonts w:ascii="Times New Roman" w:hAnsi="Times New Roman" w:cs="Times New Roman"/>
          <w:sz w:val="24"/>
        </w:rPr>
        <w:t>Financijski plan za 202</w:t>
      </w:r>
      <w:r w:rsidR="00A32F1F" w:rsidRPr="00DB7DE4">
        <w:rPr>
          <w:rFonts w:ascii="Times New Roman" w:hAnsi="Times New Roman" w:cs="Times New Roman"/>
          <w:sz w:val="24"/>
        </w:rPr>
        <w:t>6</w:t>
      </w:r>
      <w:r w:rsidRPr="00DB7DE4">
        <w:rPr>
          <w:rFonts w:ascii="Times New Roman" w:hAnsi="Times New Roman" w:cs="Times New Roman"/>
          <w:sz w:val="24"/>
        </w:rPr>
        <w:t>. godinu predstavlja kontinuitet dosadašnje realizacije financijskih planova iz prethodnih godina. Očekuje se manje povećanje na dijelu rashoda za zaposlene zbog zapošljavanja novih djelatnika krajem 202</w:t>
      </w:r>
      <w:r w:rsidR="00B5476D" w:rsidRPr="00DB7DE4">
        <w:rPr>
          <w:rFonts w:ascii="Times New Roman" w:hAnsi="Times New Roman" w:cs="Times New Roman"/>
          <w:sz w:val="24"/>
        </w:rPr>
        <w:t>5</w:t>
      </w:r>
      <w:r w:rsidRPr="00DB7DE4">
        <w:rPr>
          <w:rFonts w:ascii="Times New Roman" w:hAnsi="Times New Roman" w:cs="Times New Roman"/>
          <w:sz w:val="24"/>
        </w:rPr>
        <w:t xml:space="preserve">. godine te znanstvenoga napredovanja znanstvenika, što će se prenijeti i u naredne godine. Primjetno je povećanje rashoda na izvoru vlastitih prihoda zbog završetka temeljnih istraživanja kao i za nabavu nove </w:t>
      </w:r>
      <w:r w:rsidR="0040392F" w:rsidRPr="00DB7DE4">
        <w:rPr>
          <w:rFonts w:ascii="Times New Roman" w:hAnsi="Times New Roman" w:cs="Times New Roman"/>
          <w:sz w:val="24"/>
        </w:rPr>
        <w:t xml:space="preserve">te zamjenu </w:t>
      </w:r>
      <w:r w:rsidRPr="00DB7DE4">
        <w:rPr>
          <w:rFonts w:ascii="Times New Roman" w:hAnsi="Times New Roman" w:cs="Times New Roman"/>
          <w:sz w:val="24"/>
        </w:rPr>
        <w:t>dotrajale opreme.</w:t>
      </w:r>
    </w:p>
    <w:p w14:paraId="23FE2295" w14:textId="77777777" w:rsidR="00F815A6" w:rsidRPr="00DB7DE4" w:rsidRDefault="00F815A6" w:rsidP="00F815A6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8"/>
        </w:rPr>
      </w:pPr>
      <w:r w:rsidRPr="00DB7DE4">
        <w:rPr>
          <w:rFonts w:ascii="Times New Roman" w:hAnsi="Times New Roman" w:cs="Times New Roman"/>
          <w:b/>
          <w:sz w:val="28"/>
        </w:rPr>
        <w:t>Šifra i naziv aktivnosti/ projekta</w:t>
      </w:r>
    </w:p>
    <w:p w14:paraId="678174DC" w14:textId="77777777" w:rsidR="00F815A6" w:rsidRPr="00DB7DE4" w:rsidRDefault="00F815A6" w:rsidP="00F815A6">
      <w:pPr>
        <w:spacing w:after="0"/>
        <w:jc w:val="both"/>
        <w:rPr>
          <w:rFonts w:ascii="Times New Roman" w:hAnsi="Times New Roman" w:cs="Times New Roman"/>
          <w:i/>
        </w:rPr>
      </w:pPr>
      <w:r w:rsidRPr="00DB7DE4">
        <w:rPr>
          <w:rFonts w:ascii="Times New Roman" w:hAnsi="Times New Roman" w:cs="Times New Roman"/>
          <w:i/>
        </w:rPr>
        <w:t>Zakonske i druge pravne osnove</w:t>
      </w:r>
    </w:p>
    <w:p w14:paraId="6C6D07BE" w14:textId="77777777" w:rsidR="001B0F7A" w:rsidRPr="004A0AAC" w:rsidRDefault="001B0F7A" w:rsidP="001B0F7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0AAC">
        <w:rPr>
          <w:rFonts w:ascii="Times New Roman" w:hAnsi="Times New Roman" w:cs="Times New Roman"/>
          <w:iCs/>
          <w:sz w:val="24"/>
          <w:szCs w:val="24"/>
        </w:rPr>
        <w:t xml:space="preserve">Zakon o </w:t>
      </w:r>
      <w:r w:rsidR="00FF45DD" w:rsidRPr="004A0AAC">
        <w:rPr>
          <w:rFonts w:ascii="Times New Roman" w:hAnsi="Times New Roman" w:cs="Times New Roman"/>
          <w:iCs/>
          <w:sz w:val="24"/>
          <w:szCs w:val="24"/>
        </w:rPr>
        <w:t>visokom obrazovanju i znanstvenoj djelatnosti</w:t>
      </w:r>
    </w:p>
    <w:p w14:paraId="2DCEEC7A" w14:textId="77777777" w:rsidR="00FF45DD" w:rsidRPr="004A0AAC" w:rsidRDefault="00FF45DD" w:rsidP="001B0F7A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0AAC">
        <w:rPr>
          <w:rFonts w:ascii="Times New Roman" w:hAnsi="Times New Roman" w:cs="Times New Roman"/>
          <w:iCs/>
          <w:sz w:val="24"/>
          <w:szCs w:val="24"/>
        </w:rPr>
        <w:t>Zakon o ustanovama</w:t>
      </w:r>
    </w:p>
    <w:p w14:paraId="7652BFE3" w14:textId="77777777" w:rsidR="00F815A6" w:rsidRPr="004A0AAC" w:rsidRDefault="003239CD" w:rsidP="003239CD">
      <w:pPr>
        <w:pStyle w:val="ListParagraph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0AAC">
        <w:rPr>
          <w:rFonts w:ascii="Times New Roman" w:hAnsi="Times New Roman" w:cs="Times New Roman"/>
          <w:iCs/>
          <w:sz w:val="24"/>
          <w:szCs w:val="24"/>
        </w:rPr>
        <w:t xml:space="preserve">Uredba o nazivima radnih mjesta i koeficijentima složenosti poslova u javnim službama  </w:t>
      </w:r>
    </w:p>
    <w:p w14:paraId="5F9850D0" w14:textId="77777777" w:rsidR="00F815A6" w:rsidRPr="004A0AAC" w:rsidRDefault="003239CD" w:rsidP="003239C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0AAC">
        <w:rPr>
          <w:rFonts w:ascii="Times New Roman" w:hAnsi="Times New Roman" w:cs="Times New Roman"/>
          <w:iCs/>
          <w:sz w:val="24"/>
          <w:szCs w:val="24"/>
        </w:rPr>
        <w:t>Temeljni kolektivni ugovor za službenike i namještenike u javnim službama</w:t>
      </w:r>
    </w:p>
    <w:p w14:paraId="71612462" w14:textId="77777777" w:rsidR="001A3805" w:rsidRPr="004A0AAC" w:rsidRDefault="001A3805" w:rsidP="001A3805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0AAC">
        <w:rPr>
          <w:rFonts w:ascii="Times New Roman" w:hAnsi="Times New Roman" w:cs="Times New Roman"/>
          <w:iCs/>
          <w:sz w:val="24"/>
          <w:szCs w:val="24"/>
        </w:rPr>
        <w:t>Statut Instituta za arheologiju</w:t>
      </w:r>
    </w:p>
    <w:p w14:paraId="36BDC83A" w14:textId="77777777" w:rsidR="001A3805" w:rsidRPr="004A0AAC" w:rsidRDefault="001A3805" w:rsidP="001A3805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4A0AAC">
        <w:rPr>
          <w:rFonts w:ascii="Times New Roman" w:hAnsi="Times New Roman"/>
          <w:iCs/>
          <w:sz w:val="24"/>
          <w:szCs w:val="24"/>
          <w:lang w:val="hr-HR"/>
        </w:rPr>
        <w:t>Strateški program znanstvenog istraživanja Instituta za arheologiju za razdoblje 2020-2025</w:t>
      </w:r>
    </w:p>
    <w:p w14:paraId="29B72007" w14:textId="77777777" w:rsidR="00FF45DD" w:rsidRPr="004A0AAC" w:rsidRDefault="00FF45DD" w:rsidP="00C74DE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A0AAC">
        <w:rPr>
          <w:rStyle w:val="Emphasis"/>
          <w:rFonts w:ascii="Times New Roman" w:hAnsi="Times New Roman" w:cs="Times New Roman"/>
          <w:i w:val="0"/>
          <w:sz w:val="24"/>
          <w:szCs w:val="24"/>
        </w:rPr>
        <w:t>Zakon o</w:t>
      </w:r>
      <w:r w:rsidRPr="004A0AAC">
        <w:rPr>
          <w:rFonts w:ascii="Times New Roman" w:hAnsi="Times New Roman" w:cs="Times New Roman"/>
          <w:iCs/>
          <w:sz w:val="24"/>
          <w:szCs w:val="24"/>
        </w:rPr>
        <w:t xml:space="preserve"> zaštiti i </w:t>
      </w:r>
      <w:r w:rsidRPr="004A0AAC">
        <w:rPr>
          <w:rStyle w:val="Emphasis"/>
          <w:rFonts w:ascii="Times New Roman" w:hAnsi="Times New Roman" w:cs="Times New Roman"/>
          <w:i w:val="0"/>
          <w:sz w:val="24"/>
          <w:szCs w:val="24"/>
        </w:rPr>
        <w:t>očuvanju</w:t>
      </w:r>
      <w:r w:rsidRPr="004A0AAC">
        <w:rPr>
          <w:rFonts w:ascii="Times New Roman" w:hAnsi="Times New Roman" w:cs="Times New Roman"/>
          <w:iCs/>
          <w:sz w:val="24"/>
          <w:szCs w:val="24"/>
        </w:rPr>
        <w:t xml:space="preserve"> kulturnih dobara</w:t>
      </w:r>
    </w:p>
    <w:p w14:paraId="715486E7" w14:textId="77777777" w:rsidR="00FF45DD" w:rsidRPr="004A0AAC" w:rsidRDefault="00FF45DD" w:rsidP="00FF45D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hAnsi="Times New Roman"/>
          <w:iCs/>
          <w:sz w:val="24"/>
          <w:szCs w:val="24"/>
          <w:lang w:val="hr-HR"/>
        </w:rPr>
      </w:pPr>
      <w:r w:rsidRPr="004A0AAC">
        <w:rPr>
          <w:rFonts w:ascii="Times New Roman" w:hAnsi="Times New Roman"/>
          <w:iCs/>
          <w:sz w:val="24"/>
          <w:szCs w:val="24"/>
          <w:lang w:val="hr-HR"/>
        </w:rPr>
        <w:t>Pravilnik o arheološkim istraživanjima</w:t>
      </w:r>
    </w:p>
    <w:p w14:paraId="52C84E5E" w14:textId="365014A3" w:rsidR="00FF45DD" w:rsidRPr="00DB7DE4" w:rsidRDefault="00774A0F" w:rsidP="00774A0F">
      <w:pPr>
        <w:pStyle w:val="ListParagraph"/>
        <w:spacing w:after="0" w:line="240" w:lineRule="auto"/>
        <w:jc w:val="right"/>
        <w:rPr>
          <w:rFonts w:ascii="Times New Roman" w:hAnsi="Times New Roman" w:cs="Times New Roman"/>
          <w:b/>
          <w:bCs/>
          <w:i/>
          <w:sz w:val="16"/>
          <w:szCs w:val="16"/>
        </w:rPr>
      </w:pPr>
      <w:r w:rsidRPr="00DB7DE4">
        <w:rPr>
          <w:rFonts w:ascii="Times New Roman" w:hAnsi="Times New Roman" w:cs="Times New Roman"/>
          <w:b/>
          <w:bCs/>
          <w:i/>
        </w:rPr>
        <w:t>€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891"/>
        <w:gridCol w:w="1582"/>
        <w:gridCol w:w="1529"/>
        <w:gridCol w:w="1410"/>
        <w:gridCol w:w="1410"/>
        <w:gridCol w:w="1529"/>
      </w:tblGrid>
      <w:tr w:rsidR="00D5408D" w:rsidRPr="00DB7DE4" w14:paraId="628F0742" w14:textId="77777777" w:rsidTr="00774A0F">
        <w:tc>
          <w:tcPr>
            <w:tcW w:w="1774" w:type="dxa"/>
            <w:shd w:val="clear" w:color="auto" w:fill="D0CECE" w:themeFill="background2" w:themeFillShade="E6"/>
          </w:tcPr>
          <w:p w14:paraId="69734F20" w14:textId="77777777" w:rsidR="00D5408D" w:rsidRPr="00DB7DE4" w:rsidRDefault="00D5408D" w:rsidP="00B77EF7">
            <w:pPr>
              <w:jc w:val="both"/>
              <w:rPr>
                <w:rFonts w:ascii="Times New Roman" w:hAnsi="Times New Roman" w:cs="Times New Roman"/>
              </w:rPr>
            </w:pPr>
          </w:p>
          <w:p w14:paraId="07AF7CCF" w14:textId="77777777" w:rsidR="00D5408D" w:rsidRPr="00DB7DE4" w:rsidRDefault="00D5408D" w:rsidP="00B77E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  <w:shd w:val="clear" w:color="auto" w:fill="D0CECE" w:themeFill="background2" w:themeFillShade="E6"/>
            <w:vAlign w:val="center"/>
          </w:tcPr>
          <w:p w14:paraId="7253C02D" w14:textId="5DC44ECF" w:rsidR="00D5408D" w:rsidRPr="00DB7DE4" w:rsidRDefault="00D5408D" w:rsidP="00774A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7DE4">
              <w:rPr>
                <w:rFonts w:ascii="Times New Roman" w:hAnsi="Times New Roman" w:cs="Times New Roman"/>
              </w:rPr>
              <w:t>Izvršenje 202</w:t>
            </w:r>
            <w:r w:rsidR="000C2D26" w:rsidRPr="00DB7DE4">
              <w:rPr>
                <w:rFonts w:ascii="Times New Roman" w:hAnsi="Times New Roman" w:cs="Times New Roman"/>
              </w:rPr>
              <w:t>4</w:t>
            </w:r>
            <w:r w:rsidRPr="00DB7D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60" w:type="dxa"/>
            <w:shd w:val="clear" w:color="auto" w:fill="D0CECE" w:themeFill="background2" w:themeFillShade="E6"/>
            <w:vAlign w:val="center"/>
          </w:tcPr>
          <w:p w14:paraId="12007A48" w14:textId="3E8A12E1" w:rsidR="00D5408D" w:rsidRPr="00DB7DE4" w:rsidRDefault="00D5408D" w:rsidP="00774A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7DE4">
              <w:rPr>
                <w:rFonts w:ascii="Times New Roman" w:hAnsi="Times New Roman" w:cs="Times New Roman"/>
              </w:rPr>
              <w:t>Plan 202</w:t>
            </w:r>
            <w:r w:rsidR="000C2D26" w:rsidRPr="00DB7DE4">
              <w:rPr>
                <w:rFonts w:ascii="Times New Roman" w:hAnsi="Times New Roman" w:cs="Times New Roman"/>
              </w:rPr>
              <w:t>5</w:t>
            </w:r>
            <w:r w:rsidRPr="00DB7D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375FE06B" w14:textId="5B9C3611" w:rsidR="00D5408D" w:rsidRPr="00DB7DE4" w:rsidRDefault="00D5408D" w:rsidP="00774A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7DE4">
              <w:rPr>
                <w:rFonts w:ascii="Times New Roman" w:hAnsi="Times New Roman" w:cs="Times New Roman"/>
              </w:rPr>
              <w:t>Plan 202</w:t>
            </w:r>
            <w:r w:rsidR="000C2D26" w:rsidRPr="00DB7DE4">
              <w:rPr>
                <w:rFonts w:ascii="Times New Roman" w:hAnsi="Times New Roman" w:cs="Times New Roman"/>
              </w:rPr>
              <w:t>6</w:t>
            </w:r>
            <w:r w:rsidRPr="00DB7D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8" w:type="dxa"/>
            <w:shd w:val="clear" w:color="auto" w:fill="D0CECE" w:themeFill="background2" w:themeFillShade="E6"/>
            <w:vAlign w:val="center"/>
          </w:tcPr>
          <w:p w14:paraId="74312E8D" w14:textId="462DE987" w:rsidR="00D5408D" w:rsidRPr="00DB7DE4" w:rsidRDefault="00D5408D" w:rsidP="00774A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7DE4">
              <w:rPr>
                <w:rFonts w:ascii="Times New Roman" w:hAnsi="Times New Roman" w:cs="Times New Roman"/>
              </w:rPr>
              <w:t>Plan 202</w:t>
            </w:r>
            <w:r w:rsidR="000C2D26" w:rsidRPr="00DB7DE4">
              <w:rPr>
                <w:rFonts w:ascii="Times New Roman" w:hAnsi="Times New Roman" w:cs="Times New Roman"/>
              </w:rPr>
              <w:t>7</w:t>
            </w:r>
            <w:r w:rsidRPr="00DB7DE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shd w:val="clear" w:color="auto" w:fill="D0CECE" w:themeFill="background2" w:themeFillShade="E6"/>
            <w:vAlign w:val="center"/>
          </w:tcPr>
          <w:p w14:paraId="1DD3D495" w14:textId="3B174216" w:rsidR="00D5408D" w:rsidRPr="00DB7DE4" w:rsidRDefault="00D5408D" w:rsidP="00774A0F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B7DE4">
              <w:rPr>
                <w:rFonts w:ascii="Times New Roman" w:hAnsi="Times New Roman" w:cs="Times New Roman"/>
              </w:rPr>
              <w:t>Plan 20</w:t>
            </w:r>
            <w:r w:rsidR="000C2D26" w:rsidRPr="00DB7DE4">
              <w:rPr>
                <w:rFonts w:ascii="Times New Roman" w:hAnsi="Times New Roman" w:cs="Times New Roman"/>
              </w:rPr>
              <w:t>28</w:t>
            </w:r>
            <w:r w:rsidRPr="00DB7DE4">
              <w:rPr>
                <w:rFonts w:ascii="Times New Roman" w:hAnsi="Times New Roman" w:cs="Times New Roman"/>
              </w:rPr>
              <w:t>.</w:t>
            </w:r>
          </w:p>
        </w:tc>
      </w:tr>
      <w:tr w:rsidR="00D5408D" w:rsidRPr="00DB7DE4" w14:paraId="3333C8A8" w14:textId="77777777" w:rsidTr="00774A0F">
        <w:tc>
          <w:tcPr>
            <w:tcW w:w="1774" w:type="dxa"/>
          </w:tcPr>
          <w:p w14:paraId="2416527C" w14:textId="77777777" w:rsidR="00D5408D" w:rsidRPr="00DB7DE4" w:rsidRDefault="00FF45DD" w:rsidP="007806D6">
            <w:pPr>
              <w:rPr>
                <w:rFonts w:ascii="Times New Roman" w:hAnsi="Times New Roman" w:cs="Times New Roman"/>
              </w:rPr>
            </w:pPr>
            <w:r w:rsidRPr="00DB7DE4">
              <w:rPr>
                <w:rFonts w:ascii="Times New Roman" w:hAnsi="Times New Roman" w:cs="Times New Roman"/>
                <w:b/>
                <w:bCs/>
              </w:rPr>
              <w:t>A622</w:t>
            </w:r>
            <w:r w:rsidR="007806D6" w:rsidRPr="00DB7DE4">
              <w:rPr>
                <w:rFonts w:ascii="Times New Roman" w:hAnsi="Times New Roman" w:cs="Times New Roman"/>
                <w:b/>
                <w:bCs/>
              </w:rPr>
              <w:t>150</w:t>
            </w:r>
            <w:r w:rsidR="007806D6" w:rsidRPr="00DB7DE4">
              <w:rPr>
                <w:rFonts w:ascii="Times New Roman" w:hAnsi="Times New Roman" w:cs="Times New Roman"/>
              </w:rPr>
              <w:t xml:space="preserve"> PROGRAMSKO FINANCIRANJE</w:t>
            </w:r>
            <w:r w:rsidRPr="00DB7DE4">
              <w:rPr>
                <w:rFonts w:ascii="Times New Roman" w:hAnsi="Times New Roman" w:cs="Times New Roman"/>
              </w:rPr>
              <w:t xml:space="preserve"> JAVNIH INSTITUTA</w:t>
            </w:r>
          </w:p>
        </w:tc>
        <w:tc>
          <w:tcPr>
            <w:tcW w:w="1623" w:type="dxa"/>
          </w:tcPr>
          <w:p w14:paraId="07671AEB" w14:textId="31D59622" w:rsidR="00D5408D" w:rsidRPr="00DB7DE4" w:rsidRDefault="00774A0F" w:rsidP="00AC704E">
            <w:pPr>
              <w:spacing w:before="480" w:line="276" w:lineRule="auto"/>
              <w:jc w:val="center"/>
              <w:rPr>
                <w:rFonts w:ascii="Times New Roman" w:hAnsi="Times New Roman" w:cs="Times New Roman"/>
              </w:rPr>
            </w:pPr>
            <w:r w:rsidRPr="00DB7DE4">
              <w:rPr>
                <w:rFonts w:ascii="Times New Roman" w:hAnsi="Times New Roman" w:cs="Times New Roman"/>
              </w:rPr>
              <w:t>1.370.513,77</w:t>
            </w:r>
          </w:p>
        </w:tc>
        <w:tc>
          <w:tcPr>
            <w:tcW w:w="1560" w:type="dxa"/>
          </w:tcPr>
          <w:p w14:paraId="198061DF" w14:textId="69ED76B5" w:rsidR="00D5408D" w:rsidRPr="00DB7DE4" w:rsidRDefault="00774A0F" w:rsidP="00AC704E">
            <w:pPr>
              <w:spacing w:before="480" w:line="276" w:lineRule="auto"/>
              <w:jc w:val="center"/>
              <w:rPr>
                <w:rFonts w:ascii="Times New Roman" w:hAnsi="Times New Roman" w:cs="Times New Roman"/>
              </w:rPr>
            </w:pPr>
            <w:r w:rsidRPr="00DB7DE4">
              <w:rPr>
                <w:rFonts w:ascii="Times New Roman" w:hAnsi="Times New Roman" w:cs="Times New Roman"/>
              </w:rPr>
              <w:t>1.518.680,00</w:t>
            </w:r>
          </w:p>
        </w:tc>
        <w:tc>
          <w:tcPr>
            <w:tcW w:w="1417" w:type="dxa"/>
          </w:tcPr>
          <w:p w14:paraId="6D3759D6" w14:textId="55EFEE38" w:rsidR="00D5408D" w:rsidRPr="00DB7DE4" w:rsidRDefault="00774A0F" w:rsidP="00AC704E">
            <w:pPr>
              <w:spacing w:before="480" w:line="276" w:lineRule="auto"/>
              <w:jc w:val="center"/>
              <w:rPr>
                <w:rFonts w:ascii="Times New Roman" w:hAnsi="Times New Roman" w:cs="Times New Roman"/>
              </w:rPr>
            </w:pPr>
            <w:r w:rsidRPr="00DB7DE4">
              <w:rPr>
                <w:rFonts w:ascii="Times New Roman" w:hAnsi="Times New Roman" w:cs="Times New Roman"/>
              </w:rPr>
              <w:t>1.813.758,00</w:t>
            </w:r>
          </w:p>
        </w:tc>
        <w:tc>
          <w:tcPr>
            <w:tcW w:w="1418" w:type="dxa"/>
          </w:tcPr>
          <w:p w14:paraId="7F7E5EEC" w14:textId="7092CCD5" w:rsidR="00D5408D" w:rsidRPr="00DB7DE4" w:rsidRDefault="00774A0F" w:rsidP="00AC704E">
            <w:pPr>
              <w:spacing w:before="480" w:line="276" w:lineRule="auto"/>
              <w:jc w:val="center"/>
              <w:rPr>
                <w:rFonts w:ascii="Times New Roman" w:hAnsi="Times New Roman" w:cs="Times New Roman"/>
              </w:rPr>
            </w:pPr>
            <w:r w:rsidRPr="00DB7DE4">
              <w:rPr>
                <w:rFonts w:ascii="Times New Roman" w:hAnsi="Times New Roman" w:cs="Times New Roman"/>
              </w:rPr>
              <w:t>1.871.280,00</w:t>
            </w:r>
          </w:p>
        </w:tc>
        <w:tc>
          <w:tcPr>
            <w:tcW w:w="1559" w:type="dxa"/>
          </w:tcPr>
          <w:p w14:paraId="2E0C916D" w14:textId="4AC8F633" w:rsidR="00D5408D" w:rsidRPr="00DB7DE4" w:rsidRDefault="00774A0F" w:rsidP="00AC704E">
            <w:pPr>
              <w:spacing w:before="480" w:line="276" w:lineRule="auto"/>
              <w:jc w:val="center"/>
              <w:rPr>
                <w:rFonts w:ascii="Times New Roman" w:hAnsi="Times New Roman" w:cs="Times New Roman"/>
              </w:rPr>
            </w:pPr>
            <w:r w:rsidRPr="00DB7DE4">
              <w:rPr>
                <w:rFonts w:ascii="Times New Roman" w:hAnsi="Times New Roman" w:cs="Times New Roman"/>
              </w:rPr>
              <w:t>1.951.280,00</w:t>
            </w:r>
          </w:p>
        </w:tc>
      </w:tr>
      <w:tr w:rsidR="0049422D" w:rsidRPr="00DB7DE4" w14:paraId="271822DB" w14:textId="77777777" w:rsidTr="00774A0F">
        <w:tc>
          <w:tcPr>
            <w:tcW w:w="1774" w:type="dxa"/>
          </w:tcPr>
          <w:p w14:paraId="0A12441C" w14:textId="76774243" w:rsidR="004411E2" w:rsidRPr="00DB7DE4" w:rsidRDefault="004411E2" w:rsidP="007806D6">
            <w:pPr>
              <w:rPr>
                <w:rFonts w:ascii="Times New Roman" w:hAnsi="Times New Roman" w:cs="Times New Roman"/>
              </w:rPr>
            </w:pPr>
            <w:r w:rsidRPr="00DB7DE4">
              <w:rPr>
                <w:rFonts w:ascii="Times New Roman" w:hAnsi="Times New Roman" w:cs="Times New Roman"/>
                <w:b/>
                <w:bCs/>
              </w:rPr>
              <w:t>A622151</w:t>
            </w:r>
            <w:r w:rsidR="00447747" w:rsidRPr="00DB7DE4">
              <w:rPr>
                <w:rFonts w:ascii="Times New Roman" w:hAnsi="Times New Roman" w:cs="Times New Roman"/>
              </w:rPr>
              <w:t xml:space="preserve"> PROGRAMSKO FINANCIRANJE JAVNIH INSTITUTA</w:t>
            </w:r>
            <w:r w:rsidR="00144BA1" w:rsidRPr="00DB7DE4">
              <w:rPr>
                <w:rFonts w:ascii="Times New Roman" w:hAnsi="Times New Roman" w:cs="Times New Roman"/>
              </w:rPr>
              <w:t>-IZ EVIDENCIJSKIH PRIHODA</w:t>
            </w:r>
          </w:p>
          <w:p w14:paraId="43B1FA36" w14:textId="413785BC" w:rsidR="00447747" w:rsidRPr="00DB7DE4" w:rsidRDefault="00447747" w:rsidP="007806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14:paraId="1DD8C3D5" w14:textId="34A984FF" w:rsidR="004411E2" w:rsidRPr="00DB7DE4" w:rsidRDefault="0049422D" w:rsidP="00FE3197">
            <w:pPr>
              <w:spacing w:before="600"/>
              <w:jc w:val="center"/>
              <w:rPr>
                <w:rFonts w:ascii="Times New Roman" w:hAnsi="Times New Roman" w:cs="Times New Roman"/>
              </w:rPr>
            </w:pPr>
            <w:r w:rsidRPr="00DB7DE4">
              <w:rPr>
                <w:rFonts w:ascii="Times New Roman" w:hAnsi="Times New Roman" w:cs="Times New Roman"/>
              </w:rPr>
              <w:t>586.197,81</w:t>
            </w:r>
          </w:p>
        </w:tc>
        <w:tc>
          <w:tcPr>
            <w:tcW w:w="1560" w:type="dxa"/>
          </w:tcPr>
          <w:p w14:paraId="1FDD9088" w14:textId="5B5A12BF" w:rsidR="004411E2" w:rsidRPr="00DB7DE4" w:rsidRDefault="0049422D" w:rsidP="00FE3197">
            <w:pPr>
              <w:spacing w:before="600"/>
              <w:jc w:val="center"/>
              <w:rPr>
                <w:rFonts w:ascii="Times New Roman" w:hAnsi="Times New Roman" w:cs="Times New Roman"/>
              </w:rPr>
            </w:pPr>
            <w:r w:rsidRPr="00DB7DE4">
              <w:rPr>
                <w:rFonts w:ascii="Times New Roman" w:hAnsi="Times New Roman" w:cs="Times New Roman"/>
              </w:rPr>
              <w:t>699.105,00</w:t>
            </w:r>
          </w:p>
        </w:tc>
        <w:tc>
          <w:tcPr>
            <w:tcW w:w="1417" w:type="dxa"/>
          </w:tcPr>
          <w:p w14:paraId="11FE7632" w14:textId="20ACC397" w:rsidR="004411E2" w:rsidRPr="00DB7DE4" w:rsidRDefault="00257B71" w:rsidP="00FE3197">
            <w:pPr>
              <w:spacing w:before="600"/>
              <w:jc w:val="center"/>
              <w:rPr>
                <w:rFonts w:ascii="Times New Roman" w:hAnsi="Times New Roman" w:cs="Times New Roman"/>
              </w:rPr>
            </w:pPr>
            <w:r w:rsidRPr="00DB7DE4">
              <w:rPr>
                <w:rFonts w:ascii="Times New Roman" w:hAnsi="Times New Roman" w:cs="Times New Roman"/>
              </w:rPr>
              <w:t>507.219</w:t>
            </w:r>
            <w:r w:rsidR="0049422D" w:rsidRPr="00DB7DE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418" w:type="dxa"/>
          </w:tcPr>
          <w:p w14:paraId="6A0905E6" w14:textId="0845EEB8" w:rsidR="004411E2" w:rsidRPr="00DB7DE4" w:rsidRDefault="0049422D" w:rsidP="00FE3197">
            <w:pPr>
              <w:spacing w:before="600"/>
              <w:jc w:val="center"/>
              <w:rPr>
                <w:rFonts w:ascii="Times New Roman" w:hAnsi="Times New Roman" w:cs="Times New Roman"/>
              </w:rPr>
            </w:pPr>
            <w:r w:rsidRPr="00DB7DE4">
              <w:rPr>
                <w:rFonts w:ascii="Times New Roman" w:hAnsi="Times New Roman" w:cs="Times New Roman"/>
              </w:rPr>
              <w:t>3</w:t>
            </w:r>
            <w:r w:rsidR="00257B71" w:rsidRPr="00DB7DE4">
              <w:rPr>
                <w:rFonts w:ascii="Times New Roman" w:hAnsi="Times New Roman" w:cs="Times New Roman"/>
              </w:rPr>
              <w:t>95</w:t>
            </w:r>
            <w:r w:rsidRPr="00DB7DE4">
              <w:rPr>
                <w:rFonts w:ascii="Times New Roman" w:hAnsi="Times New Roman" w:cs="Times New Roman"/>
              </w:rPr>
              <w:t>.</w:t>
            </w:r>
            <w:r w:rsidR="00257B71" w:rsidRPr="00DB7DE4">
              <w:rPr>
                <w:rFonts w:ascii="Times New Roman" w:hAnsi="Times New Roman" w:cs="Times New Roman"/>
              </w:rPr>
              <w:t>466</w:t>
            </w:r>
            <w:r w:rsidRPr="00DB7DE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559" w:type="dxa"/>
          </w:tcPr>
          <w:p w14:paraId="7734290F" w14:textId="7AD2E41C" w:rsidR="004411E2" w:rsidRPr="00DB7DE4" w:rsidRDefault="0049422D" w:rsidP="00FE3197">
            <w:pPr>
              <w:spacing w:before="600"/>
              <w:jc w:val="center"/>
              <w:rPr>
                <w:rFonts w:ascii="Times New Roman" w:hAnsi="Times New Roman" w:cs="Times New Roman"/>
              </w:rPr>
            </w:pPr>
            <w:r w:rsidRPr="00DB7DE4">
              <w:rPr>
                <w:rFonts w:ascii="Times New Roman" w:hAnsi="Times New Roman" w:cs="Times New Roman"/>
              </w:rPr>
              <w:t>3</w:t>
            </w:r>
            <w:r w:rsidR="00257B71" w:rsidRPr="00DB7DE4">
              <w:rPr>
                <w:rFonts w:ascii="Times New Roman" w:hAnsi="Times New Roman" w:cs="Times New Roman"/>
              </w:rPr>
              <w:t>90</w:t>
            </w:r>
            <w:r w:rsidRPr="00DB7DE4">
              <w:rPr>
                <w:rFonts w:ascii="Times New Roman" w:hAnsi="Times New Roman" w:cs="Times New Roman"/>
              </w:rPr>
              <w:t>.</w:t>
            </w:r>
            <w:r w:rsidR="00257B71" w:rsidRPr="00DB7DE4">
              <w:rPr>
                <w:rFonts w:ascii="Times New Roman" w:hAnsi="Times New Roman" w:cs="Times New Roman"/>
              </w:rPr>
              <w:t>489</w:t>
            </w:r>
            <w:r w:rsidRPr="00DB7DE4">
              <w:rPr>
                <w:rFonts w:ascii="Times New Roman" w:hAnsi="Times New Roman" w:cs="Times New Roman"/>
              </w:rPr>
              <w:t>,00</w:t>
            </w:r>
          </w:p>
        </w:tc>
      </w:tr>
      <w:tr w:rsidR="0049422D" w:rsidRPr="00DB7DE4" w14:paraId="7874C11C" w14:textId="77777777" w:rsidTr="00774A0F">
        <w:tc>
          <w:tcPr>
            <w:tcW w:w="1774" w:type="dxa"/>
          </w:tcPr>
          <w:p w14:paraId="5D7BDC62" w14:textId="53B0924F" w:rsidR="004C4C65" w:rsidRPr="00DB7DE4" w:rsidRDefault="004411E2" w:rsidP="007806D6">
            <w:pPr>
              <w:rPr>
                <w:rFonts w:ascii="Times New Roman" w:hAnsi="Times New Roman" w:cs="Times New Roman"/>
                <w:b/>
                <w:bCs/>
              </w:rPr>
            </w:pPr>
            <w:r w:rsidRPr="00DB7DE4">
              <w:rPr>
                <w:rFonts w:ascii="Times New Roman" w:hAnsi="Times New Roman" w:cs="Times New Roman"/>
                <w:b/>
                <w:bCs/>
              </w:rPr>
              <w:lastRenderedPageBreak/>
              <w:t>A622152</w:t>
            </w:r>
            <w:r w:rsidR="00447747" w:rsidRPr="00DB7DE4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657421C" w14:textId="4E779AD6" w:rsidR="004411E2" w:rsidRPr="00DB7DE4" w:rsidRDefault="00447747" w:rsidP="007806D6">
            <w:pPr>
              <w:rPr>
                <w:rFonts w:ascii="Times New Roman" w:hAnsi="Times New Roman" w:cs="Times New Roman"/>
              </w:rPr>
            </w:pPr>
            <w:r w:rsidRPr="00DB7DE4">
              <w:rPr>
                <w:rFonts w:ascii="Times New Roman" w:hAnsi="Times New Roman" w:cs="Times New Roman"/>
              </w:rPr>
              <w:t>PROGRAMSKO FINANCIRANJE JAVNIH INSTITUTA</w:t>
            </w:r>
            <w:r w:rsidR="004C4C65" w:rsidRPr="00DB7DE4">
              <w:rPr>
                <w:rFonts w:ascii="Times New Roman" w:hAnsi="Times New Roman" w:cs="Times New Roman"/>
              </w:rPr>
              <w:t>-IZ STRUKTURNIH I INVESTICIJSKIH FONDOVA EU</w:t>
            </w:r>
          </w:p>
        </w:tc>
        <w:tc>
          <w:tcPr>
            <w:tcW w:w="1623" w:type="dxa"/>
          </w:tcPr>
          <w:p w14:paraId="5C8FDB4D" w14:textId="25F22362" w:rsidR="004411E2" w:rsidRPr="00DB7DE4" w:rsidRDefault="008F4E7F" w:rsidP="00665DAB">
            <w:pPr>
              <w:spacing w:before="840"/>
              <w:jc w:val="center"/>
              <w:rPr>
                <w:rFonts w:ascii="Times New Roman" w:hAnsi="Times New Roman" w:cs="Times New Roman"/>
              </w:rPr>
            </w:pPr>
            <w:r w:rsidRPr="00DB7DE4">
              <w:rPr>
                <w:rFonts w:ascii="Times New Roman" w:hAnsi="Times New Roman" w:cs="Times New Roman"/>
              </w:rPr>
              <w:t>79.292.22</w:t>
            </w:r>
          </w:p>
        </w:tc>
        <w:tc>
          <w:tcPr>
            <w:tcW w:w="1560" w:type="dxa"/>
          </w:tcPr>
          <w:p w14:paraId="15DCFC7B" w14:textId="77FC7C45" w:rsidR="004411E2" w:rsidRPr="00DB7DE4" w:rsidRDefault="008F4E7F" w:rsidP="00665DAB">
            <w:pPr>
              <w:spacing w:before="840"/>
              <w:jc w:val="center"/>
              <w:rPr>
                <w:rFonts w:ascii="Times New Roman" w:hAnsi="Times New Roman" w:cs="Times New Roman"/>
              </w:rPr>
            </w:pPr>
            <w:r w:rsidRPr="00DB7DE4">
              <w:rPr>
                <w:rFonts w:ascii="Times New Roman" w:hAnsi="Times New Roman" w:cs="Times New Roman"/>
              </w:rPr>
              <w:t>80.000,00</w:t>
            </w:r>
          </w:p>
        </w:tc>
        <w:tc>
          <w:tcPr>
            <w:tcW w:w="1417" w:type="dxa"/>
          </w:tcPr>
          <w:p w14:paraId="59CEB68D" w14:textId="00EB1D25" w:rsidR="004411E2" w:rsidRPr="00DB7DE4" w:rsidRDefault="008F4E7F" w:rsidP="00665DAB">
            <w:pPr>
              <w:spacing w:before="840"/>
              <w:jc w:val="center"/>
              <w:rPr>
                <w:rFonts w:ascii="Times New Roman" w:hAnsi="Times New Roman" w:cs="Times New Roman"/>
              </w:rPr>
            </w:pPr>
            <w:r w:rsidRPr="00DB7DE4">
              <w:rPr>
                <w:rFonts w:ascii="Times New Roman" w:hAnsi="Times New Roman" w:cs="Times New Roman"/>
              </w:rPr>
              <w:t>80.000,00</w:t>
            </w:r>
          </w:p>
        </w:tc>
        <w:tc>
          <w:tcPr>
            <w:tcW w:w="1418" w:type="dxa"/>
          </w:tcPr>
          <w:p w14:paraId="6A3E1E14" w14:textId="2F5C325F" w:rsidR="004411E2" w:rsidRPr="00DB7DE4" w:rsidRDefault="008F4E7F" w:rsidP="00665DAB">
            <w:pPr>
              <w:spacing w:before="840"/>
              <w:jc w:val="center"/>
              <w:rPr>
                <w:rFonts w:ascii="Times New Roman" w:hAnsi="Times New Roman" w:cs="Times New Roman"/>
              </w:rPr>
            </w:pPr>
            <w:r w:rsidRPr="00DB7DE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</w:tcPr>
          <w:p w14:paraId="6C14E3D1" w14:textId="20904C4A" w:rsidR="004411E2" w:rsidRPr="00DB7DE4" w:rsidRDefault="008F4E7F" w:rsidP="00665DAB">
            <w:pPr>
              <w:spacing w:before="840"/>
              <w:jc w:val="center"/>
              <w:rPr>
                <w:rFonts w:ascii="Times New Roman" w:hAnsi="Times New Roman" w:cs="Times New Roman"/>
              </w:rPr>
            </w:pPr>
            <w:r w:rsidRPr="00DB7DE4">
              <w:rPr>
                <w:rFonts w:ascii="Times New Roman" w:hAnsi="Times New Roman" w:cs="Times New Roman"/>
              </w:rPr>
              <w:t>0,00</w:t>
            </w:r>
          </w:p>
        </w:tc>
      </w:tr>
      <w:tr w:rsidR="006925CE" w:rsidRPr="00DB7DE4" w14:paraId="21EE4C66" w14:textId="77777777" w:rsidTr="006925CE">
        <w:tc>
          <w:tcPr>
            <w:tcW w:w="1774" w:type="dxa"/>
            <w:shd w:val="clear" w:color="auto" w:fill="D9D9D9" w:themeFill="background1" w:themeFillShade="D9"/>
          </w:tcPr>
          <w:p w14:paraId="44E04EAE" w14:textId="08259512" w:rsidR="006925CE" w:rsidRPr="00DB7DE4" w:rsidRDefault="006925CE" w:rsidP="006925CE">
            <w:pPr>
              <w:spacing w:before="120"/>
              <w:rPr>
                <w:rFonts w:ascii="Times New Roman" w:hAnsi="Times New Roman" w:cs="Times New Roman"/>
                <w:b/>
                <w:bCs/>
              </w:rPr>
            </w:pPr>
            <w:r w:rsidRPr="00DB7DE4">
              <w:rPr>
                <w:rFonts w:ascii="Times New Roman" w:hAnsi="Times New Roman" w:cs="Times New Roman"/>
                <w:b/>
                <w:bCs/>
              </w:rPr>
              <w:t>UKUPNO</w:t>
            </w:r>
          </w:p>
        </w:tc>
        <w:tc>
          <w:tcPr>
            <w:tcW w:w="1623" w:type="dxa"/>
            <w:shd w:val="clear" w:color="auto" w:fill="D9D9D9" w:themeFill="background1" w:themeFillShade="D9"/>
          </w:tcPr>
          <w:p w14:paraId="6C372FDE" w14:textId="12C09530" w:rsidR="006925CE" w:rsidRPr="00DB7DE4" w:rsidRDefault="006925CE" w:rsidP="006925C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B7DE4">
              <w:rPr>
                <w:rFonts w:ascii="Times New Roman" w:hAnsi="Times New Roman" w:cs="Times New Roman"/>
              </w:rPr>
              <w:t>2.036.003,80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1C343C81" w14:textId="3DC73F1F" w:rsidR="006925CE" w:rsidRPr="00DB7DE4" w:rsidRDefault="006925CE" w:rsidP="006925C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B7DE4">
              <w:rPr>
                <w:rFonts w:ascii="Times New Roman" w:hAnsi="Times New Roman" w:cs="Times New Roman"/>
              </w:rPr>
              <w:t>2.297.785,00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B01E739" w14:textId="6DFC89F7" w:rsidR="006925CE" w:rsidRPr="00DB7DE4" w:rsidRDefault="006925CE" w:rsidP="006925C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B7DE4">
              <w:rPr>
                <w:rFonts w:ascii="Times New Roman" w:hAnsi="Times New Roman" w:cs="Times New Roman"/>
              </w:rPr>
              <w:t>2.400.977,00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33103EB0" w14:textId="58C2CA89" w:rsidR="006925CE" w:rsidRPr="00DB7DE4" w:rsidRDefault="006925CE" w:rsidP="006925C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B7DE4">
              <w:rPr>
                <w:rFonts w:ascii="Times New Roman" w:hAnsi="Times New Roman" w:cs="Times New Roman"/>
              </w:rPr>
              <w:t>2.266.746,00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1141BCA2" w14:textId="61D7C3BE" w:rsidR="006925CE" w:rsidRPr="00DB7DE4" w:rsidRDefault="006925CE" w:rsidP="006925CE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DB7DE4">
              <w:rPr>
                <w:rFonts w:ascii="Times New Roman" w:hAnsi="Times New Roman" w:cs="Times New Roman"/>
              </w:rPr>
              <w:t>2.341.769,00</w:t>
            </w:r>
          </w:p>
        </w:tc>
      </w:tr>
    </w:tbl>
    <w:p w14:paraId="423E1DAD" w14:textId="7D14A428" w:rsidR="0040392F" w:rsidRPr="00DB7DE4" w:rsidRDefault="0040392F" w:rsidP="0040392F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14:paraId="1BEA9C54" w14:textId="1EC74284" w:rsidR="00F61689" w:rsidRPr="00DB7DE4" w:rsidRDefault="00F61689" w:rsidP="0040392F">
      <w:pPr>
        <w:spacing w:line="240" w:lineRule="auto"/>
        <w:jc w:val="both"/>
        <w:rPr>
          <w:rFonts w:ascii="Times New Roman" w:hAnsi="Times New Roman" w:cs="Times New Roman"/>
          <w:b/>
          <w:bCs/>
          <w:iCs/>
        </w:rPr>
      </w:pPr>
      <w:r w:rsidRPr="00DB7DE4">
        <w:rPr>
          <w:rFonts w:ascii="Times New Roman" w:hAnsi="Times New Roman" w:cs="Times New Roman"/>
          <w:b/>
          <w:bCs/>
          <w:iCs/>
        </w:rPr>
        <w:t>Izračun financijskog plana</w:t>
      </w:r>
    </w:p>
    <w:p w14:paraId="64055441" w14:textId="6EF2E68C" w:rsidR="00FF0469" w:rsidRPr="00DB7DE4" w:rsidRDefault="00F61689" w:rsidP="0040392F">
      <w:pPr>
        <w:spacing w:line="240" w:lineRule="auto"/>
        <w:jc w:val="both"/>
        <w:rPr>
          <w:rFonts w:ascii="Times New Roman" w:hAnsi="Times New Roman" w:cs="Times New Roman"/>
          <w:i/>
          <w:iCs/>
        </w:rPr>
      </w:pPr>
      <w:r w:rsidRPr="00DB7DE4">
        <w:rPr>
          <w:rFonts w:ascii="Times New Roman" w:hAnsi="Times New Roman" w:cs="Times New Roman"/>
          <w:b/>
          <w:bCs/>
          <w:i/>
          <w:iCs/>
        </w:rPr>
        <w:t>A622150</w:t>
      </w:r>
      <w:r w:rsidRPr="00DB7DE4">
        <w:rPr>
          <w:rFonts w:ascii="Times New Roman" w:hAnsi="Times New Roman" w:cs="Times New Roman"/>
          <w:i/>
          <w:iCs/>
        </w:rPr>
        <w:t xml:space="preserve"> PROGRAMSKO FINANCIRANJE JAVNIH INSTITUTA</w:t>
      </w:r>
    </w:p>
    <w:p w14:paraId="3B7E3CB9" w14:textId="79C38CA2" w:rsidR="0040392F" w:rsidRPr="00DB7DE4" w:rsidRDefault="0040392F" w:rsidP="0040392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B7DE4">
        <w:rPr>
          <w:rFonts w:ascii="Times New Roman" w:hAnsi="Times New Roman" w:cs="Times New Roman"/>
          <w:i/>
        </w:rPr>
        <w:t>Rashodi za zaposlene</w:t>
      </w:r>
    </w:p>
    <w:p w14:paraId="5DF72E97" w14:textId="77777777" w:rsidR="00F61689" w:rsidRPr="00DB7DE4" w:rsidRDefault="00F61689" w:rsidP="00F61689">
      <w:pPr>
        <w:pStyle w:val="ListParagraph"/>
        <w:spacing w:after="0" w:line="240" w:lineRule="auto"/>
        <w:ind w:left="862"/>
        <w:jc w:val="both"/>
        <w:rPr>
          <w:rFonts w:ascii="Times New Roman" w:hAnsi="Times New Roman" w:cs="Times New Roman"/>
          <w:i/>
        </w:rPr>
      </w:pPr>
    </w:p>
    <w:p w14:paraId="08EF4203" w14:textId="6EC34DEA" w:rsidR="00F61689" w:rsidRPr="00DB7DE4" w:rsidRDefault="00F61689" w:rsidP="00F61689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DB7DE4">
        <w:rPr>
          <w:rFonts w:ascii="Times New Roman" w:hAnsi="Times New Roman" w:cs="Times New Roman"/>
          <w:iCs/>
        </w:rPr>
        <w:t xml:space="preserve">Za 2026. godinu planirani su rashodi za zaposlene u iznosu od 1.521.758,00 €, za 2027. u iznosu od 1.579.280,00 € i za 2028. u iznosu od 1.659.280,00 € (plaće zaposlenika, materijalna prava). </w:t>
      </w:r>
    </w:p>
    <w:p w14:paraId="7F006E27" w14:textId="77777777" w:rsidR="00F61689" w:rsidRPr="00DB7DE4" w:rsidRDefault="00F61689" w:rsidP="00F6168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6CCCC1A" w14:textId="77777777" w:rsidR="0040392F" w:rsidRPr="00DB7DE4" w:rsidRDefault="0040392F" w:rsidP="0040392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B7DE4">
        <w:rPr>
          <w:rFonts w:ascii="Times New Roman" w:hAnsi="Times New Roman" w:cs="Times New Roman"/>
          <w:i/>
        </w:rPr>
        <w:t>Materijalni rashodi</w:t>
      </w:r>
    </w:p>
    <w:p w14:paraId="5698AF61" w14:textId="3A8D05BD" w:rsidR="00F61689" w:rsidRPr="00DB7DE4" w:rsidRDefault="00F61689" w:rsidP="00F61689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i/>
        </w:rPr>
      </w:pPr>
    </w:p>
    <w:p w14:paraId="7E0F3E2F" w14:textId="130878D6" w:rsidR="00F61689" w:rsidRPr="00DB7DE4" w:rsidRDefault="00F61689" w:rsidP="00F61689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iCs/>
        </w:rPr>
      </w:pPr>
      <w:r w:rsidRPr="00DB7DE4">
        <w:rPr>
          <w:rFonts w:ascii="Times New Roman" w:hAnsi="Times New Roman" w:cs="Times New Roman"/>
          <w:iCs/>
        </w:rPr>
        <w:t xml:space="preserve">Za 2026. godinu planirani su </w:t>
      </w:r>
      <w:r w:rsidR="00890280">
        <w:rPr>
          <w:rFonts w:ascii="Times New Roman" w:hAnsi="Times New Roman" w:cs="Times New Roman"/>
          <w:iCs/>
        </w:rPr>
        <w:t>materijalni</w:t>
      </w:r>
      <w:r w:rsidRPr="00DB7DE4">
        <w:rPr>
          <w:rFonts w:ascii="Times New Roman" w:hAnsi="Times New Roman" w:cs="Times New Roman"/>
          <w:iCs/>
        </w:rPr>
        <w:t xml:space="preserve"> rashodi u iznosu od 2</w:t>
      </w:r>
      <w:r w:rsidR="006925CE" w:rsidRPr="00DB7DE4">
        <w:rPr>
          <w:rFonts w:ascii="Times New Roman" w:hAnsi="Times New Roman" w:cs="Times New Roman"/>
          <w:iCs/>
        </w:rPr>
        <w:t>58</w:t>
      </w:r>
      <w:r w:rsidRPr="00DB7DE4">
        <w:rPr>
          <w:rFonts w:ascii="Times New Roman" w:hAnsi="Times New Roman" w:cs="Times New Roman"/>
          <w:iCs/>
        </w:rPr>
        <w:t>.000,00 €.  Sredstva su u istom iznosu planirana i za 2027. i 2028. godinu.</w:t>
      </w:r>
    </w:p>
    <w:p w14:paraId="60B30DE8" w14:textId="50296EA6" w:rsidR="00F61689" w:rsidRPr="00DB7DE4" w:rsidRDefault="00F61689" w:rsidP="00F61689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i/>
        </w:rPr>
      </w:pPr>
    </w:p>
    <w:p w14:paraId="6086C054" w14:textId="683A7B62" w:rsidR="00F61689" w:rsidRPr="00DB7DE4" w:rsidRDefault="00F61689" w:rsidP="00F61689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i/>
        </w:rPr>
      </w:pPr>
      <w:r w:rsidRPr="00DB7DE4">
        <w:rPr>
          <w:rFonts w:ascii="Times New Roman" w:hAnsi="Times New Roman" w:cs="Times New Roman"/>
          <w:i/>
        </w:rPr>
        <w:t xml:space="preserve">Financijski rashodi </w:t>
      </w:r>
    </w:p>
    <w:p w14:paraId="7605544B" w14:textId="1B8C895F" w:rsidR="00F61689" w:rsidRPr="00DB7DE4" w:rsidRDefault="00F61689" w:rsidP="00F61689">
      <w:pPr>
        <w:spacing w:line="240" w:lineRule="auto"/>
        <w:jc w:val="both"/>
        <w:rPr>
          <w:rFonts w:ascii="Times New Roman" w:hAnsi="Times New Roman" w:cs="Times New Roman"/>
          <w:iCs/>
        </w:rPr>
      </w:pPr>
      <w:r w:rsidRPr="00DB7DE4">
        <w:rPr>
          <w:rFonts w:ascii="Times New Roman" w:hAnsi="Times New Roman" w:cs="Times New Roman"/>
          <w:iCs/>
        </w:rPr>
        <w:t xml:space="preserve">Za 2026. godinu planirani su </w:t>
      </w:r>
      <w:r w:rsidR="00890280">
        <w:rPr>
          <w:rFonts w:ascii="Times New Roman" w:hAnsi="Times New Roman" w:cs="Times New Roman"/>
          <w:iCs/>
        </w:rPr>
        <w:t>financijski</w:t>
      </w:r>
      <w:r w:rsidRPr="00DB7DE4">
        <w:rPr>
          <w:rFonts w:ascii="Times New Roman" w:hAnsi="Times New Roman" w:cs="Times New Roman"/>
          <w:iCs/>
        </w:rPr>
        <w:t xml:space="preserve"> rashodi u iznosu od 2.000,00 €.  Sredstva su u istom iznosu planirana i za 2027. i 2028. godinu.</w:t>
      </w:r>
    </w:p>
    <w:p w14:paraId="269C5D28" w14:textId="192FFF44" w:rsidR="00F61689" w:rsidRPr="00DB7DE4" w:rsidRDefault="00F356E0" w:rsidP="00F356E0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i/>
        </w:rPr>
      </w:pPr>
      <w:r w:rsidRPr="00DB7DE4">
        <w:rPr>
          <w:rFonts w:ascii="Times New Roman" w:hAnsi="Times New Roman" w:cs="Times New Roman"/>
          <w:i/>
        </w:rPr>
        <w:t>Rashodi za nabavu proizvedene dugotrajne imovine</w:t>
      </w:r>
    </w:p>
    <w:p w14:paraId="19CF1501" w14:textId="7B933737" w:rsidR="00F356E0" w:rsidRPr="00DB7DE4" w:rsidRDefault="00F356E0" w:rsidP="00F356E0">
      <w:pPr>
        <w:spacing w:line="240" w:lineRule="auto"/>
        <w:jc w:val="both"/>
        <w:rPr>
          <w:rFonts w:ascii="Times New Roman" w:hAnsi="Times New Roman" w:cs="Times New Roman"/>
          <w:iCs/>
        </w:rPr>
      </w:pPr>
      <w:r w:rsidRPr="00DB7DE4">
        <w:rPr>
          <w:rFonts w:ascii="Times New Roman" w:hAnsi="Times New Roman" w:cs="Times New Roman"/>
          <w:iCs/>
        </w:rPr>
        <w:t xml:space="preserve">Za 2026. godinu planirani su rashodi za nabavu proizvedene dugotrajne imovine u iznosu od </w:t>
      </w:r>
      <w:r w:rsidR="00A4672A" w:rsidRPr="00DB7DE4">
        <w:rPr>
          <w:rFonts w:ascii="Times New Roman" w:hAnsi="Times New Roman" w:cs="Times New Roman"/>
          <w:iCs/>
        </w:rPr>
        <w:t>3</w:t>
      </w:r>
      <w:r w:rsidRPr="00DB7DE4">
        <w:rPr>
          <w:rFonts w:ascii="Times New Roman" w:hAnsi="Times New Roman" w:cs="Times New Roman"/>
          <w:iCs/>
        </w:rPr>
        <w:t>2.000,00 €.  Sredstva su u istom iznosu planirana i za 2027. i 2028. godinu.</w:t>
      </w:r>
    </w:p>
    <w:p w14:paraId="200020DF" w14:textId="77777777" w:rsidR="00A8292A" w:rsidRPr="00DB7DE4" w:rsidRDefault="00A8292A" w:rsidP="00A8292A">
      <w:pPr>
        <w:rPr>
          <w:rFonts w:ascii="Times New Roman" w:hAnsi="Times New Roman" w:cs="Times New Roman"/>
          <w:b/>
          <w:bCs/>
        </w:rPr>
      </w:pPr>
    </w:p>
    <w:p w14:paraId="00A76EA1" w14:textId="1B50B25D" w:rsidR="00A8292A" w:rsidRPr="00DB7DE4" w:rsidRDefault="00A8292A" w:rsidP="00A8292A">
      <w:pPr>
        <w:rPr>
          <w:rFonts w:ascii="Times New Roman" w:hAnsi="Times New Roman" w:cs="Times New Roman"/>
          <w:i/>
          <w:iCs/>
        </w:rPr>
      </w:pPr>
      <w:r w:rsidRPr="00DB7DE4">
        <w:rPr>
          <w:rFonts w:ascii="Times New Roman" w:hAnsi="Times New Roman" w:cs="Times New Roman"/>
          <w:b/>
          <w:bCs/>
          <w:i/>
          <w:iCs/>
        </w:rPr>
        <w:t>A622151</w:t>
      </w:r>
      <w:r w:rsidRPr="00DB7DE4">
        <w:rPr>
          <w:rFonts w:ascii="Times New Roman" w:hAnsi="Times New Roman" w:cs="Times New Roman"/>
          <w:i/>
          <w:iCs/>
        </w:rPr>
        <w:t xml:space="preserve"> PROGRAMSKO FINANCIRANJE JAVNIH INSTITUTA</w:t>
      </w:r>
      <w:r w:rsidR="00144BA1" w:rsidRPr="00DB7DE4">
        <w:rPr>
          <w:rFonts w:ascii="Times New Roman" w:hAnsi="Times New Roman" w:cs="Times New Roman"/>
          <w:i/>
          <w:iCs/>
        </w:rPr>
        <w:t>-IZ EVIDENCIJSKIH PRIHODA</w:t>
      </w:r>
    </w:p>
    <w:p w14:paraId="026F81C0" w14:textId="77777777" w:rsidR="00A8292A" w:rsidRPr="00DB7DE4" w:rsidRDefault="00A8292A" w:rsidP="00A8292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B7DE4">
        <w:rPr>
          <w:rFonts w:ascii="Times New Roman" w:hAnsi="Times New Roman" w:cs="Times New Roman"/>
          <w:i/>
        </w:rPr>
        <w:t>Rashodi za zaposlene</w:t>
      </w:r>
    </w:p>
    <w:p w14:paraId="0AD14957" w14:textId="77777777" w:rsidR="00A8292A" w:rsidRPr="00DB7DE4" w:rsidRDefault="00A8292A" w:rsidP="00A8292A">
      <w:pPr>
        <w:pStyle w:val="ListParagraph"/>
        <w:spacing w:after="0" w:line="240" w:lineRule="auto"/>
        <w:ind w:left="862"/>
        <w:jc w:val="both"/>
        <w:rPr>
          <w:rFonts w:ascii="Times New Roman" w:hAnsi="Times New Roman" w:cs="Times New Roman"/>
          <w:i/>
        </w:rPr>
      </w:pPr>
    </w:p>
    <w:p w14:paraId="19F756FE" w14:textId="08CA4FC4" w:rsidR="00A8292A" w:rsidRPr="00DB7DE4" w:rsidRDefault="00A8292A" w:rsidP="00A8292A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DB7DE4">
        <w:rPr>
          <w:rFonts w:ascii="Times New Roman" w:hAnsi="Times New Roman" w:cs="Times New Roman"/>
          <w:iCs/>
        </w:rPr>
        <w:t xml:space="preserve">Za 2026. godinu planirani su rashodi za zaposlene u iznosu od </w:t>
      </w:r>
      <w:r w:rsidR="00B44A33" w:rsidRPr="00DB7DE4">
        <w:rPr>
          <w:rFonts w:ascii="Times New Roman" w:hAnsi="Times New Roman" w:cs="Times New Roman"/>
          <w:iCs/>
        </w:rPr>
        <w:t>93.500,00</w:t>
      </w:r>
      <w:r w:rsidRPr="00DB7DE4">
        <w:rPr>
          <w:rFonts w:ascii="Times New Roman" w:hAnsi="Times New Roman" w:cs="Times New Roman"/>
          <w:iCs/>
        </w:rPr>
        <w:t xml:space="preserve"> €, za 2027.</w:t>
      </w:r>
      <w:r w:rsidR="00B44A33" w:rsidRPr="00DB7DE4">
        <w:rPr>
          <w:rFonts w:ascii="Times New Roman" w:hAnsi="Times New Roman" w:cs="Times New Roman"/>
          <w:iCs/>
        </w:rPr>
        <w:t xml:space="preserve"> i 2028. godinu</w:t>
      </w:r>
      <w:r w:rsidRPr="00DB7DE4">
        <w:rPr>
          <w:rFonts w:ascii="Times New Roman" w:hAnsi="Times New Roman" w:cs="Times New Roman"/>
          <w:iCs/>
        </w:rPr>
        <w:t xml:space="preserve"> u iznosu od </w:t>
      </w:r>
      <w:r w:rsidR="00B44A33" w:rsidRPr="00DB7DE4">
        <w:rPr>
          <w:rFonts w:ascii="Times New Roman" w:hAnsi="Times New Roman" w:cs="Times New Roman"/>
          <w:iCs/>
        </w:rPr>
        <w:t>86</w:t>
      </w:r>
      <w:r w:rsidRPr="00DB7DE4">
        <w:rPr>
          <w:rFonts w:ascii="Times New Roman" w:hAnsi="Times New Roman" w:cs="Times New Roman"/>
          <w:iCs/>
        </w:rPr>
        <w:t>.</w:t>
      </w:r>
      <w:r w:rsidR="00B44A33" w:rsidRPr="00DB7DE4">
        <w:rPr>
          <w:rFonts w:ascii="Times New Roman" w:hAnsi="Times New Roman" w:cs="Times New Roman"/>
          <w:iCs/>
        </w:rPr>
        <w:t>00</w:t>
      </w:r>
      <w:r w:rsidRPr="00DB7DE4">
        <w:rPr>
          <w:rFonts w:ascii="Times New Roman" w:hAnsi="Times New Roman" w:cs="Times New Roman"/>
          <w:iCs/>
        </w:rPr>
        <w:t xml:space="preserve">0,00 € (plaće zaposlenika, materijalna prava). </w:t>
      </w:r>
    </w:p>
    <w:p w14:paraId="40D10436" w14:textId="77777777" w:rsidR="00A8292A" w:rsidRPr="00DB7DE4" w:rsidRDefault="00A8292A" w:rsidP="00A8292A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2D9B742E" w14:textId="77777777" w:rsidR="00A8292A" w:rsidRPr="00DB7DE4" w:rsidRDefault="00A8292A" w:rsidP="00A8292A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B7DE4">
        <w:rPr>
          <w:rFonts w:ascii="Times New Roman" w:hAnsi="Times New Roman" w:cs="Times New Roman"/>
          <w:i/>
        </w:rPr>
        <w:t>Materijalni rashodi</w:t>
      </w:r>
    </w:p>
    <w:p w14:paraId="3FC4E1BA" w14:textId="77777777" w:rsidR="00A8292A" w:rsidRPr="00DB7DE4" w:rsidRDefault="00A8292A" w:rsidP="00A8292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i/>
        </w:rPr>
      </w:pPr>
    </w:p>
    <w:p w14:paraId="408F8502" w14:textId="11AB3D67" w:rsidR="00232EA0" w:rsidRPr="00DB7DE4" w:rsidRDefault="00A8292A" w:rsidP="00A8292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iCs/>
        </w:rPr>
      </w:pPr>
      <w:r w:rsidRPr="00DB7DE4">
        <w:rPr>
          <w:rFonts w:ascii="Times New Roman" w:hAnsi="Times New Roman" w:cs="Times New Roman"/>
          <w:iCs/>
        </w:rPr>
        <w:t xml:space="preserve">Za 2026. godinu planirani su </w:t>
      </w:r>
      <w:r w:rsidR="00232EA0" w:rsidRPr="00DB7DE4">
        <w:rPr>
          <w:rFonts w:ascii="Times New Roman" w:hAnsi="Times New Roman" w:cs="Times New Roman"/>
          <w:iCs/>
        </w:rPr>
        <w:t>materijalni</w:t>
      </w:r>
      <w:r w:rsidRPr="00DB7DE4">
        <w:rPr>
          <w:rFonts w:ascii="Times New Roman" w:hAnsi="Times New Roman" w:cs="Times New Roman"/>
          <w:iCs/>
        </w:rPr>
        <w:t xml:space="preserve"> rashodi u iznosu od </w:t>
      </w:r>
      <w:r w:rsidR="00B44A33" w:rsidRPr="00DB7DE4">
        <w:rPr>
          <w:rFonts w:ascii="Times New Roman" w:hAnsi="Times New Roman" w:cs="Times New Roman"/>
          <w:iCs/>
        </w:rPr>
        <w:t>357.919</w:t>
      </w:r>
      <w:r w:rsidRPr="00DB7DE4">
        <w:rPr>
          <w:rFonts w:ascii="Times New Roman" w:hAnsi="Times New Roman" w:cs="Times New Roman"/>
          <w:iCs/>
        </w:rPr>
        <w:t>,00 €</w:t>
      </w:r>
      <w:r w:rsidR="00B44A33" w:rsidRPr="00DB7DE4">
        <w:rPr>
          <w:rFonts w:ascii="Times New Roman" w:hAnsi="Times New Roman" w:cs="Times New Roman"/>
          <w:iCs/>
        </w:rPr>
        <w:t>, za 2027. u iznosu od</w:t>
      </w:r>
      <w:r w:rsidR="00433EE9">
        <w:rPr>
          <w:rFonts w:ascii="Times New Roman" w:hAnsi="Times New Roman" w:cs="Times New Roman"/>
          <w:iCs/>
        </w:rPr>
        <w:t xml:space="preserve"> 295.166,00 €</w:t>
      </w:r>
      <w:r w:rsidRPr="00DB7DE4">
        <w:rPr>
          <w:rFonts w:ascii="Times New Roman" w:hAnsi="Times New Roman" w:cs="Times New Roman"/>
          <w:iCs/>
        </w:rPr>
        <w:t xml:space="preserve"> i </w:t>
      </w:r>
      <w:r w:rsidR="00B44A33" w:rsidRPr="00DB7DE4">
        <w:rPr>
          <w:rFonts w:ascii="Times New Roman" w:hAnsi="Times New Roman" w:cs="Times New Roman"/>
          <w:iCs/>
        </w:rPr>
        <w:t xml:space="preserve">za </w:t>
      </w:r>
      <w:r w:rsidRPr="00DB7DE4">
        <w:rPr>
          <w:rFonts w:ascii="Times New Roman" w:hAnsi="Times New Roman" w:cs="Times New Roman"/>
          <w:iCs/>
        </w:rPr>
        <w:t xml:space="preserve">2028. </w:t>
      </w:r>
      <w:r w:rsidR="00B44A33" w:rsidRPr="00DB7DE4">
        <w:rPr>
          <w:rFonts w:ascii="Times New Roman" w:hAnsi="Times New Roman" w:cs="Times New Roman"/>
          <w:iCs/>
        </w:rPr>
        <w:t>u iznosu od 290.689,00 €</w:t>
      </w:r>
      <w:r w:rsidRPr="00DB7DE4">
        <w:rPr>
          <w:rFonts w:ascii="Times New Roman" w:hAnsi="Times New Roman" w:cs="Times New Roman"/>
          <w:iCs/>
        </w:rPr>
        <w:t>.</w:t>
      </w:r>
    </w:p>
    <w:p w14:paraId="17FCD631" w14:textId="77777777" w:rsidR="00232EA0" w:rsidRPr="00DB7DE4" w:rsidRDefault="00232EA0" w:rsidP="00A8292A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i/>
        </w:rPr>
      </w:pPr>
    </w:p>
    <w:p w14:paraId="17F35E47" w14:textId="77777777" w:rsidR="00A8292A" w:rsidRPr="00DB7DE4" w:rsidRDefault="00A8292A" w:rsidP="00A8292A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i/>
        </w:rPr>
      </w:pPr>
      <w:r w:rsidRPr="00DB7DE4">
        <w:rPr>
          <w:rFonts w:ascii="Times New Roman" w:hAnsi="Times New Roman" w:cs="Times New Roman"/>
          <w:i/>
        </w:rPr>
        <w:t xml:space="preserve">Financijski rashodi </w:t>
      </w:r>
    </w:p>
    <w:p w14:paraId="6E747D7E" w14:textId="0ECC712C" w:rsidR="00A8292A" w:rsidRPr="00DB7DE4" w:rsidRDefault="00A8292A" w:rsidP="00A8292A">
      <w:pPr>
        <w:spacing w:line="240" w:lineRule="auto"/>
        <w:jc w:val="both"/>
        <w:rPr>
          <w:rFonts w:ascii="Times New Roman" w:hAnsi="Times New Roman" w:cs="Times New Roman"/>
          <w:iCs/>
        </w:rPr>
      </w:pPr>
      <w:r w:rsidRPr="00DB7DE4">
        <w:rPr>
          <w:rFonts w:ascii="Times New Roman" w:hAnsi="Times New Roman" w:cs="Times New Roman"/>
          <w:iCs/>
        </w:rPr>
        <w:t xml:space="preserve">Za 2026. godinu planirani su </w:t>
      </w:r>
      <w:r w:rsidR="00232EA0" w:rsidRPr="00DB7DE4">
        <w:rPr>
          <w:rFonts w:ascii="Times New Roman" w:hAnsi="Times New Roman" w:cs="Times New Roman"/>
          <w:iCs/>
        </w:rPr>
        <w:t>financijski</w:t>
      </w:r>
      <w:r w:rsidRPr="00DB7DE4">
        <w:rPr>
          <w:rFonts w:ascii="Times New Roman" w:hAnsi="Times New Roman" w:cs="Times New Roman"/>
          <w:iCs/>
        </w:rPr>
        <w:t xml:space="preserve"> rashodi u iznosu od</w:t>
      </w:r>
      <w:r w:rsidR="00B44A33" w:rsidRPr="00DB7DE4">
        <w:rPr>
          <w:rFonts w:ascii="Times New Roman" w:hAnsi="Times New Roman" w:cs="Times New Roman"/>
          <w:iCs/>
        </w:rPr>
        <w:t xml:space="preserve"> 8</w:t>
      </w:r>
      <w:r w:rsidRPr="00DB7DE4">
        <w:rPr>
          <w:rFonts w:ascii="Times New Roman" w:hAnsi="Times New Roman" w:cs="Times New Roman"/>
          <w:iCs/>
        </w:rPr>
        <w:t>00,00 €.  Sredstva su u istom iznosu planirana i za 2027. i 2028. godinu.</w:t>
      </w:r>
    </w:p>
    <w:p w14:paraId="05FF315B" w14:textId="77777777" w:rsidR="00A8292A" w:rsidRPr="00DB7DE4" w:rsidRDefault="00A8292A" w:rsidP="00A8292A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hAnsi="Times New Roman" w:cs="Times New Roman"/>
          <w:i/>
        </w:rPr>
      </w:pPr>
      <w:r w:rsidRPr="00DB7DE4">
        <w:rPr>
          <w:rFonts w:ascii="Times New Roman" w:hAnsi="Times New Roman" w:cs="Times New Roman"/>
          <w:i/>
        </w:rPr>
        <w:t>Rashodi za nabavu proizvedene dugotrajne imovine</w:t>
      </w:r>
    </w:p>
    <w:p w14:paraId="2A1516CC" w14:textId="610637ED" w:rsidR="00A8292A" w:rsidRPr="00DB7DE4" w:rsidRDefault="00A8292A" w:rsidP="00A8292A">
      <w:pPr>
        <w:spacing w:line="240" w:lineRule="auto"/>
        <w:jc w:val="both"/>
        <w:rPr>
          <w:rFonts w:ascii="Times New Roman" w:hAnsi="Times New Roman" w:cs="Times New Roman"/>
          <w:iCs/>
        </w:rPr>
      </w:pPr>
      <w:r w:rsidRPr="00DB7DE4">
        <w:rPr>
          <w:rFonts w:ascii="Times New Roman" w:hAnsi="Times New Roman" w:cs="Times New Roman"/>
          <w:iCs/>
        </w:rPr>
        <w:t xml:space="preserve">Za 2026. godinu planirani su rashodi za nabavu proizvedene dugotrajne imovine u iznosu od </w:t>
      </w:r>
      <w:r w:rsidR="00CF2D52" w:rsidRPr="00DB7DE4">
        <w:rPr>
          <w:rFonts w:ascii="Times New Roman" w:hAnsi="Times New Roman" w:cs="Times New Roman"/>
          <w:iCs/>
        </w:rPr>
        <w:t>54</w:t>
      </w:r>
      <w:r w:rsidRPr="00DB7DE4">
        <w:rPr>
          <w:rFonts w:ascii="Times New Roman" w:hAnsi="Times New Roman" w:cs="Times New Roman"/>
          <w:iCs/>
        </w:rPr>
        <w:t>.000,00 €</w:t>
      </w:r>
      <w:r w:rsidR="00CF2D52" w:rsidRPr="00DB7DE4">
        <w:rPr>
          <w:rFonts w:ascii="Times New Roman" w:hAnsi="Times New Roman" w:cs="Times New Roman"/>
          <w:iCs/>
        </w:rPr>
        <w:t>, za 2027. u iznosu od 13.500,00 € i za 2028. u iznosu od 13.000,00 €.</w:t>
      </w:r>
    </w:p>
    <w:p w14:paraId="39B57071" w14:textId="5224FF56" w:rsidR="00A8292A" w:rsidRPr="00DB7DE4" w:rsidRDefault="00361129" w:rsidP="00361129">
      <w:pPr>
        <w:rPr>
          <w:rFonts w:ascii="Times New Roman" w:hAnsi="Times New Roman" w:cs="Times New Roman"/>
          <w:i/>
          <w:iCs/>
        </w:rPr>
      </w:pPr>
      <w:r w:rsidRPr="00DB7DE4">
        <w:rPr>
          <w:rFonts w:ascii="Times New Roman" w:hAnsi="Times New Roman" w:cs="Times New Roman"/>
          <w:b/>
          <w:bCs/>
          <w:i/>
          <w:iCs/>
        </w:rPr>
        <w:lastRenderedPageBreak/>
        <w:t xml:space="preserve">A622152 </w:t>
      </w:r>
      <w:r w:rsidRPr="00DB7DE4">
        <w:rPr>
          <w:rFonts w:ascii="Times New Roman" w:hAnsi="Times New Roman" w:cs="Times New Roman"/>
          <w:i/>
          <w:iCs/>
        </w:rPr>
        <w:t>PROGRAMSKO FINANCIRANJE JAVNIH INSTITUTA-IZ STRUKTURNIH I INVESTICIJSKIH FONDOVA EU</w:t>
      </w:r>
    </w:p>
    <w:p w14:paraId="329FD41B" w14:textId="77777777" w:rsidR="00232EA0" w:rsidRPr="00DB7DE4" w:rsidRDefault="00232EA0" w:rsidP="00232EA0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B7DE4">
        <w:rPr>
          <w:rFonts w:ascii="Times New Roman" w:hAnsi="Times New Roman" w:cs="Times New Roman"/>
          <w:i/>
        </w:rPr>
        <w:t>Materijalni rashodi</w:t>
      </w:r>
    </w:p>
    <w:p w14:paraId="3898E1C8" w14:textId="77777777" w:rsidR="00232EA0" w:rsidRPr="00DB7DE4" w:rsidRDefault="00232EA0" w:rsidP="00232EA0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iCs/>
        </w:rPr>
      </w:pPr>
    </w:p>
    <w:p w14:paraId="5C1A92F1" w14:textId="36AE98A8" w:rsidR="00232EA0" w:rsidRPr="00DB7DE4" w:rsidRDefault="00232EA0" w:rsidP="00232EA0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iCs/>
        </w:rPr>
      </w:pPr>
      <w:r w:rsidRPr="00DB7DE4">
        <w:rPr>
          <w:rFonts w:ascii="Times New Roman" w:hAnsi="Times New Roman" w:cs="Times New Roman"/>
          <w:iCs/>
        </w:rPr>
        <w:t xml:space="preserve">Za 2026. godinu planirani su materijalni rashodi u iznosu od </w:t>
      </w:r>
      <w:r w:rsidR="00D83E6B" w:rsidRPr="00DB7DE4">
        <w:rPr>
          <w:rFonts w:ascii="Times New Roman" w:hAnsi="Times New Roman" w:cs="Times New Roman"/>
          <w:iCs/>
        </w:rPr>
        <w:t>70</w:t>
      </w:r>
      <w:r w:rsidRPr="00DB7DE4">
        <w:rPr>
          <w:rFonts w:ascii="Times New Roman" w:hAnsi="Times New Roman" w:cs="Times New Roman"/>
          <w:iCs/>
        </w:rPr>
        <w:t xml:space="preserve">.000,00 €.  </w:t>
      </w:r>
      <w:r w:rsidR="00D83E6B" w:rsidRPr="00DB7DE4">
        <w:rPr>
          <w:rFonts w:ascii="Times New Roman" w:hAnsi="Times New Roman" w:cs="Times New Roman"/>
          <w:iCs/>
        </w:rPr>
        <w:t>Za 2027. i 2028. godinu sredstva nisu planirana</w:t>
      </w:r>
      <w:r w:rsidRPr="00DB7DE4">
        <w:rPr>
          <w:rFonts w:ascii="Times New Roman" w:hAnsi="Times New Roman" w:cs="Times New Roman"/>
          <w:iCs/>
        </w:rPr>
        <w:t>.</w:t>
      </w:r>
    </w:p>
    <w:p w14:paraId="632334E7" w14:textId="77777777" w:rsidR="00267AE8" w:rsidRPr="00DB7DE4" w:rsidRDefault="00267AE8" w:rsidP="00232EA0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iCs/>
        </w:rPr>
      </w:pPr>
    </w:p>
    <w:p w14:paraId="24D5168F" w14:textId="0664D6A2" w:rsidR="00267AE8" w:rsidRDefault="00267AE8" w:rsidP="00267AE8">
      <w:pPr>
        <w:pStyle w:val="ListParagraph"/>
        <w:numPr>
          <w:ilvl w:val="0"/>
          <w:numId w:val="22"/>
        </w:numPr>
        <w:spacing w:line="240" w:lineRule="auto"/>
        <w:jc w:val="both"/>
        <w:rPr>
          <w:rFonts w:ascii="Times New Roman" w:hAnsi="Times New Roman" w:cs="Times New Roman"/>
          <w:i/>
        </w:rPr>
      </w:pPr>
      <w:r w:rsidRPr="00DB7DE4">
        <w:rPr>
          <w:rFonts w:ascii="Times New Roman" w:hAnsi="Times New Roman" w:cs="Times New Roman"/>
          <w:i/>
        </w:rPr>
        <w:t>Rashodi za nabavu proizvedene dugotrajne imovine</w:t>
      </w:r>
    </w:p>
    <w:p w14:paraId="658ABFD1" w14:textId="77777777" w:rsidR="00F41136" w:rsidRPr="00DB7DE4" w:rsidRDefault="00F41136" w:rsidP="00F41136">
      <w:pPr>
        <w:pStyle w:val="ListParagraph"/>
        <w:spacing w:line="240" w:lineRule="auto"/>
        <w:ind w:left="862"/>
        <w:jc w:val="both"/>
        <w:rPr>
          <w:rFonts w:ascii="Times New Roman" w:hAnsi="Times New Roman" w:cs="Times New Roman"/>
          <w:i/>
        </w:rPr>
      </w:pPr>
    </w:p>
    <w:p w14:paraId="62635EFC" w14:textId="193FCE67" w:rsidR="008C38EF" w:rsidRPr="008C38EF" w:rsidRDefault="00267AE8" w:rsidP="008C38EF">
      <w:pPr>
        <w:pStyle w:val="ListParagraph"/>
        <w:spacing w:line="240" w:lineRule="auto"/>
        <w:ind w:left="0"/>
        <w:jc w:val="both"/>
        <w:rPr>
          <w:rFonts w:ascii="Times New Roman" w:hAnsi="Times New Roman" w:cs="Times New Roman"/>
          <w:iCs/>
        </w:rPr>
      </w:pPr>
      <w:r w:rsidRPr="00DB7DE4">
        <w:rPr>
          <w:rFonts w:ascii="Times New Roman" w:hAnsi="Times New Roman" w:cs="Times New Roman"/>
          <w:iCs/>
        </w:rPr>
        <w:t xml:space="preserve">Za 2026. godinu planirani su rashodi za nabavu proizvedene dugotrajne imovine u iznosu od </w:t>
      </w:r>
      <w:r w:rsidR="00DB7DE4" w:rsidRPr="00DB7DE4">
        <w:rPr>
          <w:rFonts w:ascii="Times New Roman" w:hAnsi="Times New Roman" w:cs="Times New Roman"/>
          <w:iCs/>
        </w:rPr>
        <w:t>10</w:t>
      </w:r>
      <w:r w:rsidRPr="00DB7DE4">
        <w:rPr>
          <w:rFonts w:ascii="Times New Roman" w:hAnsi="Times New Roman" w:cs="Times New Roman"/>
          <w:iCs/>
        </w:rPr>
        <w:t>.000,00 €</w:t>
      </w:r>
      <w:r w:rsidR="00DB7DE4" w:rsidRPr="00DB7DE4">
        <w:rPr>
          <w:rFonts w:ascii="Times New Roman" w:hAnsi="Times New Roman" w:cs="Times New Roman"/>
          <w:iCs/>
        </w:rPr>
        <w:t>. Za 2027. i 2028. godinu sredstva nisu planirana.</w:t>
      </w:r>
    </w:p>
    <w:p w14:paraId="079EE4A3" w14:textId="77777777" w:rsidR="00DB7DE4" w:rsidRPr="00DB7DE4" w:rsidRDefault="00DB7DE4" w:rsidP="00DC5C93">
      <w:pPr>
        <w:jc w:val="both"/>
        <w:rPr>
          <w:rFonts w:ascii="Times New Roman" w:hAnsi="Times New Roman" w:cs="Times New Roman"/>
        </w:rPr>
      </w:pPr>
    </w:p>
    <w:p w14:paraId="63924FC1" w14:textId="0358FAEC" w:rsidR="00935A1C" w:rsidRPr="00DB7DE4" w:rsidRDefault="00935A1C" w:rsidP="00DC5C93">
      <w:pPr>
        <w:jc w:val="both"/>
        <w:rPr>
          <w:rFonts w:ascii="Times New Roman" w:hAnsi="Times New Roman" w:cs="Times New Roman"/>
        </w:rPr>
      </w:pPr>
      <w:r w:rsidRPr="00DB7DE4">
        <w:rPr>
          <w:rFonts w:ascii="Times New Roman" w:hAnsi="Times New Roman" w:cs="Times New Roman"/>
        </w:rPr>
        <w:t>Sukladno radu na Programskome ugovoru, predviđeni su sljedeći Pokazatelji rezultata</w:t>
      </w:r>
      <w:r w:rsidR="008C5E22" w:rsidRPr="00DB7DE4">
        <w:rPr>
          <w:rFonts w:ascii="Times New Roman" w:hAnsi="Times New Roman" w:cs="Times New Roman"/>
        </w:rPr>
        <w:t xml:space="preserve"> s ciljanim vrijednostima</w:t>
      </w:r>
      <w:r w:rsidRPr="00DB7DE4">
        <w:rPr>
          <w:rFonts w:ascii="Times New Roman" w:hAnsi="Times New Roman" w:cs="Times New Roman"/>
        </w:rPr>
        <w:t>:</w:t>
      </w:r>
    </w:p>
    <w:tbl>
      <w:tblPr>
        <w:tblStyle w:val="TableGrid"/>
        <w:tblW w:w="940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1372"/>
        <w:gridCol w:w="1022"/>
        <w:gridCol w:w="1119"/>
        <w:gridCol w:w="1119"/>
        <w:gridCol w:w="1119"/>
        <w:gridCol w:w="1119"/>
        <w:gridCol w:w="1119"/>
      </w:tblGrid>
      <w:tr w:rsidR="00F815A6" w:rsidRPr="00DB7DE4" w14:paraId="7A51E9E5" w14:textId="77777777" w:rsidTr="00E72571"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7F0A8C6E" w14:textId="77777777" w:rsidR="00F815A6" w:rsidRPr="00DB7DE4" w:rsidRDefault="00F815A6" w:rsidP="00B77E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B7DE4">
              <w:rPr>
                <w:rFonts w:ascii="Times New Roman" w:hAnsi="Times New Roman" w:cs="Times New Roman"/>
                <w:sz w:val="20"/>
              </w:rPr>
              <w:t>Pokazatelj rezultata</w:t>
            </w:r>
          </w:p>
        </w:tc>
        <w:tc>
          <w:tcPr>
            <w:tcW w:w="1372" w:type="dxa"/>
            <w:shd w:val="clear" w:color="auto" w:fill="D0CECE" w:themeFill="background2" w:themeFillShade="E6"/>
            <w:vAlign w:val="center"/>
          </w:tcPr>
          <w:p w14:paraId="52BA58B0" w14:textId="77777777" w:rsidR="00F815A6" w:rsidRPr="00DB7DE4" w:rsidRDefault="00F815A6" w:rsidP="00B77E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B7DE4">
              <w:rPr>
                <w:rFonts w:ascii="Times New Roman" w:hAnsi="Times New Roman" w:cs="Times New Roman"/>
                <w:sz w:val="20"/>
              </w:rPr>
              <w:t>Definicija</w:t>
            </w:r>
          </w:p>
        </w:tc>
        <w:tc>
          <w:tcPr>
            <w:tcW w:w="1022" w:type="dxa"/>
            <w:shd w:val="clear" w:color="auto" w:fill="D0CECE" w:themeFill="background2" w:themeFillShade="E6"/>
            <w:vAlign w:val="center"/>
          </w:tcPr>
          <w:p w14:paraId="51E9342C" w14:textId="77777777" w:rsidR="00F815A6" w:rsidRPr="00DB7DE4" w:rsidRDefault="00F815A6" w:rsidP="00B77E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B7DE4">
              <w:rPr>
                <w:rFonts w:ascii="Times New Roman" w:hAnsi="Times New Roman" w:cs="Times New Roman"/>
                <w:sz w:val="20"/>
              </w:rPr>
              <w:t>Jedinica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7A836CD3" w14:textId="77777777" w:rsidR="00F815A6" w:rsidRPr="00DB7DE4" w:rsidRDefault="00F815A6" w:rsidP="00B77E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B7DE4">
              <w:rPr>
                <w:rFonts w:ascii="Times New Roman" w:hAnsi="Times New Roman" w:cs="Times New Roman"/>
                <w:sz w:val="20"/>
              </w:rPr>
              <w:t>Polazna vrijednost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1EF2C9A0" w14:textId="77777777" w:rsidR="00F815A6" w:rsidRPr="00DB7DE4" w:rsidRDefault="00F815A6" w:rsidP="00B77EF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B7DE4">
              <w:rPr>
                <w:rFonts w:ascii="Times New Roman" w:hAnsi="Times New Roman" w:cs="Times New Roman"/>
                <w:sz w:val="20"/>
              </w:rPr>
              <w:t>Izvor podataka</w:t>
            </w:r>
          </w:p>
        </w:tc>
        <w:tc>
          <w:tcPr>
            <w:tcW w:w="1119" w:type="dxa"/>
            <w:shd w:val="clear" w:color="auto" w:fill="D0CECE" w:themeFill="background2" w:themeFillShade="E6"/>
            <w:vAlign w:val="center"/>
          </w:tcPr>
          <w:p w14:paraId="632DB30C" w14:textId="4AAAE391" w:rsidR="00F815A6" w:rsidRPr="00DB7DE4" w:rsidRDefault="00F815A6" w:rsidP="00A47F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B7DE4">
              <w:rPr>
                <w:rFonts w:ascii="Times New Roman" w:hAnsi="Times New Roman" w:cs="Times New Roman"/>
                <w:sz w:val="20"/>
              </w:rPr>
              <w:t>Ciljana vrijednost za 202</w:t>
            </w:r>
            <w:r w:rsidR="00DC5B33" w:rsidRPr="00DB7DE4">
              <w:rPr>
                <w:rFonts w:ascii="Times New Roman" w:hAnsi="Times New Roman" w:cs="Times New Roman"/>
                <w:sz w:val="20"/>
              </w:rPr>
              <w:t>6</w:t>
            </w:r>
            <w:r w:rsidRPr="00DB7D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6B3ACED7" w14:textId="441B7FC7" w:rsidR="00F815A6" w:rsidRPr="00DB7DE4" w:rsidRDefault="00F815A6" w:rsidP="00A47F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B7DE4">
              <w:rPr>
                <w:rFonts w:ascii="Times New Roman" w:hAnsi="Times New Roman" w:cs="Times New Roman"/>
                <w:sz w:val="20"/>
              </w:rPr>
              <w:t>Ciljana vrijednost za 202</w:t>
            </w:r>
            <w:r w:rsidR="00DC5B33" w:rsidRPr="00DB7DE4">
              <w:rPr>
                <w:rFonts w:ascii="Times New Roman" w:hAnsi="Times New Roman" w:cs="Times New Roman"/>
                <w:sz w:val="20"/>
              </w:rPr>
              <w:t>7</w:t>
            </w:r>
            <w:r w:rsidRPr="00DB7DE4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19" w:type="dxa"/>
            <w:shd w:val="clear" w:color="auto" w:fill="D0CECE" w:themeFill="background2" w:themeFillShade="E6"/>
          </w:tcPr>
          <w:p w14:paraId="4A1DF522" w14:textId="580F2A87" w:rsidR="00F815A6" w:rsidRPr="00DB7DE4" w:rsidRDefault="00F815A6" w:rsidP="00A47F6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DB7DE4">
              <w:rPr>
                <w:rFonts w:ascii="Times New Roman" w:hAnsi="Times New Roman" w:cs="Times New Roman"/>
                <w:sz w:val="20"/>
              </w:rPr>
              <w:t>Ciljana vrijednost za 202</w:t>
            </w:r>
            <w:r w:rsidR="00DC5B33" w:rsidRPr="00DB7DE4">
              <w:rPr>
                <w:rFonts w:ascii="Times New Roman" w:hAnsi="Times New Roman" w:cs="Times New Roman"/>
                <w:sz w:val="20"/>
              </w:rPr>
              <w:t>8</w:t>
            </w:r>
            <w:r w:rsidRPr="00DB7DE4">
              <w:rPr>
                <w:rFonts w:ascii="Times New Roman" w:hAnsi="Times New Roman" w:cs="Times New Roman"/>
                <w:sz w:val="20"/>
              </w:rPr>
              <w:t>.</w:t>
            </w:r>
          </w:p>
        </w:tc>
      </w:tr>
      <w:tr w:rsidR="00F815A6" w:rsidRPr="00DB7DE4" w14:paraId="75568BF8" w14:textId="77777777" w:rsidTr="00E72571">
        <w:tc>
          <w:tcPr>
            <w:tcW w:w="14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0083" w14:textId="77777777" w:rsidR="00935A1C" w:rsidRPr="00DB7DE4" w:rsidRDefault="003C6A42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Posebni cilj 1.1.</w:t>
            </w: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D2B610D" w14:textId="77777777" w:rsidR="00F815A6" w:rsidRPr="00DB7DE4" w:rsidRDefault="003C6A42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b/>
                <w:sz w:val="20"/>
                <w:szCs w:val="20"/>
              </w:rPr>
              <w:t>Pokazatelj rezultata 1.1</w:t>
            </w: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: Broj uspješnih projektnih prijava na kompetitivne izvore financiranja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372A27" w14:textId="77777777" w:rsidR="00F815A6" w:rsidRPr="00DB7DE4" w:rsidRDefault="00DC5C93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Uspješne </w:t>
            </w:r>
            <w:r w:rsidR="003C6A42" w:rsidRPr="00DB7DE4">
              <w:rPr>
                <w:rFonts w:ascii="Times New Roman" w:hAnsi="Times New Roman" w:cs="Times New Roman"/>
                <w:sz w:val="20"/>
                <w:szCs w:val="20"/>
              </w:rPr>
              <w:t>projektne prijave</w:t>
            </w:r>
            <w:r w:rsidR="003C6A42" w:rsidRPr="00DB7DE4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912BB" w14:textId="77777777" w:rsidR="00F815A6" w:rsidRPr="00DB7DE4" w:rsidRDefault="003C6A42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broj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04D5F" w14:textId="77777777" w:rsidR="00F815A6" w:rsidRPr="00DB7DE4" w:rsidRDefault="007E789B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5339F" w14:textId="77777777" w:rsidR="00F815A6" w:rsidRPr="00DB7DE4" w:rsidRDefault="003C6A42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Znanstveni odjel</w:t>
            </w:r>
            <w:r w:rsidR="00DC5C93"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Instituta</w:t>
            </w:r>
            <w:r w:rsidR="00AE7569"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- Izvješće o radu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A02D9" w14:textId="77777777" w:rsidR="00F815A6" w:rsidRPr="00DB7DE4" w:rsidRDefault="003C6A42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iCs/>
                <w:sz w:val="20"/>
                <w:szCs w:val="20"/>
              </w:rPr>
              <w:t>4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FC1F7E" w14:textId="27CE6ED2" w:rsidR="00F815A6" w:rsidRPr="00DB7DE4" w:rsidRDefault="00DC5B33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iCs/>
                <w:sz w:val="20"/>
                <w:szCs w:val="20"/>
              </w:rPr>
              <w:t>5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50E462" w14:textId="2E93E8B7" w:rsidR="00F815A6" w:rsidRPr="00DB7DE4" w:rsidRDefault="001C1B54" w:rsidP="00B7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F815A6" w:rsidRPr="00DB7DE4" w14:paraId="49A47CBF" w14:textId="77777777" w:rsidTr="00E72571">
        <w:tc>
          <w:tcPr>
            <w:tcW w:w="1413" w:type="dxa"/>
            <w:vAlign w:val="center"/>
          </w:tcPr>
          <w:p w14:paraId="1444996A" w14:textId="77777777" w:rsidR="00F815A6" w:rsidRPr="00DB7DE4" w:rsidRDefault="003C6A42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b/>
                <w:sz w:val="20"/>
                <w:szCs w:val="20"/>
              </w:rPr>
              <w:t>Pokazatelj rezultata 1.2</w:t>
            </w: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: Broj znanstvenih radova u SCOPUS i WoS, A1 časopisima te međunarodno recenziranim zbornicima </w:t>
            </w:r>
          </w:p>
        </w:tc>
        <w:tc>
          <w:tcPr>
            <w:tcW w:w="1372" w:type="dxa"/>
            <w:vAlign w:val="center"/>
          </w:tcPr>
          <w:p w14:paraId="26BE35C6" w14:textId="77777777" w:rsidR="00F815A6" w:rsidRPr="00DB7DE4" w:rsidRDefault="003C6A42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Znanstvena produkcija radova u domaćim i inozemnim časopisima (Wos/Scopus/A1) i međunarodno recenziranim zbornicima</w:t>
            </w:r>
          </w:p>
        </w:tc>
        <w:tc>
          <w:tcPr>
            <w:tcW w:w="1022" w:type="dxa"/>
            <w:vAlign w:val="center"/>
          </w:tcPr>
          <w:p w14:paraId="6A21C498" w14:textId="77777777" w:rsidR="00F815A6" w:rsidRPr="00DB7DE4" w:rsidRDefault="003C6A42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članak</w:t>
            </w:r>
          </w:p>
        </w:tc>
        <w:tc>
          <w:tcPr>
            <w:tcW w:w="1119" w:type="dxa"/>
            <w:vAlign w:val="center"/>
          </w:tcPr>
          <w:p w14:paraId="2C7FE8FD" w14:textId="77777777" w:rsidR="00F815A6" w:rsidRPr="00DB7DE4" w:rsidRDefault="007E789B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9" w:type="dxa"/>
            <w:vAlign w:val="center"/>
          </w:tcPr>
          <w:p w14:paraId="421A0FB8" w14:textId="77777777" w:rsidR="00F815A6" w:rsidRPr="00DB7DE4" w:rsidRDefault="003C6A42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Znanstveni odjel</w:t>
            </w:r>
            <w:r w:rsidR="00DC5C93"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Instituta</w:t>
            </w:r>
            <w:r w:rsidR="00AE7569"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- Izvješće o radu</w:t>
            </w:r>
          </w:p>
        </w:tc>
        <w:tc>
          <w:tcPr>
            <w:tcW w:w="1119" w:type="dxa"/>
            <w:vAlign w:val="center"/>
          </w:tcPr>
          <w:p w14:paraId="7CD9EF90" w14:textId="21566B91" w:rsidR="00F815A6" w:rsidRPr="00DB7DE4" w:rsidRDefault="003C6A42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DC5B33" w:rsidRPr="00DB7D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9" w:type="dxa"/>
            <w:vAlign w:val="center"/>
          </w:tcPr>
          <w:p w14:paraId="4FC872D4" w14:textId="0B406916" w:rsidR="00F815A6" w:rsidRPr="00DB7DE4" w:rsidRDefault="00DC5B33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19" w:type="dxa"/>
            <w:vAlign w:val="center"/>
          </w:tcPr>
          <w:p w14:paraId="57EA113F" w14:textId="4551CDF2" w:rsidR="00F815A6" w:rsidRPr="00DB7DE4" w:rsidRDefault="001C1B54" w:rsidP="00B7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3C6A42" w:rsidRPr="00DB7DE4" w14:paraId="0441F6DB" w14:textId="77777777" w:rsidTr="00E72571">
        <w:tc>
          <w:tcPr>
            <w:tcW w:w="1413" w:type="dxa"/>
            <w:vAlign w:val="center"/>
          </w:tcPr>
          <w:p w14:paraId="46528394" w14:textId="77777777" w:rsidR="00DC5C93" w:rsidRPr="00DB7DE4" w:rsidRDefault="00DC5C93" w:rsidP="00935A1C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Posebni cilj 1.3.</w:t>
            </w:r>
          </w:p>
          <w:p w14:paraId="668E9696" w14:textId="77777777" w:rsidR="003C6A42" w:rsidRPr="00DB7DE4" w:rsidRDefault="00DC5C93" w:rsidP="00935A1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b/>
                <w:sz w:val="20"/>
                <w:szCs w:val="20"/>
              </w:rPr>
              <w:t>Pokazatelj rezultata 2:</w:t>
            </w: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Broj znanstvenika uključenih u aktivnosti znanstvene mobilnosti</w:t>
            </w:r>
          </w:p>
        </w:tc>
        <w:tc>
          <w:tcPr>
            <w:tcW w:w="1372" w:type="dxa"/>
            <w:vAlign w:val="center"/>
          </w:tcPr>
          <w:p w14:paraId="0733DFD2" w14:textId="77777777" w:rsidR="003C6A42" w:rsidRPr="00DB7DE4" w:rsidRDefault="00DC5C93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Jačanje međunarodne znanstvene suradnje i znanstvene aktivnosti</w:t>
            </w:r>
          </w:p>
        </w:tc>
        <w:tc>
          <w:tcPr>
            <w:tcW w:w="1022" w:type="dxa"/>
            <w:vAlign w:val="center"/>
          </w:tcPr>
          <w:p w14:paraId="6C1E4145" w14:textId="77777777" w:rsidR="003C6A42" w:rsidRPr="00DB7DE4" w:rsidRDefault="00DC5C93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Znanstvenik i suradnik</w:t>
            </w:r>
          </w:p>
        </w:tc>
        <w:tc>
          <w:tcPr>
            <w:tcW w:w="1119" w:type="dxa"/>
            <w:vAlign w:val="center"/>
          </w:tcPr>
          <w:p w14:paraId="5FBAE6EE" w14:textId="77777777" w:rsidR="003C6A42" w:rsidRPr="00DB7DE4" w:rsidRDefault="007E789B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9" w:type="dxa"/>
            <w:vAlign w:val="center"/>
          </w:tcPr>
          <w:p w14:paraId="203A23D6" w14:textId="77777777" w:rsidR="003C6A42" w:rsidRPr="00DB7DE4" w:rsidRDefault="00DC5C93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Znanstveni odjel Instituta</w:t>
            </w:r>
            <w:r w:rsidR="00AE7569"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- Izvješće o radu</w:t>
            </w:r>
          </w:p>
        </w:tc>
        <w:tc>
          <w:tcPr>
            <w:tcW w:w="1119" w:type="dxa"/>
            <w:vAlign w:val="center"/>
          </w:tcPr>
          <w:p w14:paraId="717D8761" w14:textId="77777777" w:rsidR="003C6A42" w:rsidRPr="00DB7DE4" w:rsidRDefault="00DC5C93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9" w:type="dxa"/>
            <w:vAlign w:val="center"/>
          </w:tcPr>
          <w:p w14:paraId="77BF8EBE" w14:textId="2880A836" w:rsidR="003C6A42" w:rsidRPr="00DB7DE4" w:rsidRDefault="00DC5B33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9" w:type="dxa"/>
            <w:vAlign w:val="center"/>
          </w:tcPr>
          <w:p w14:paraId="0AD40EA1" w14:textId="6E569567" w:rsidR="003C6A42" w:rsidRPr="00DB7DE4" w:rsidRDefault="001C1B54" w:rsidP="00B7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C6A42" w:rsidRPr="00DB7DE4" w14:paraId="509A077E" w14:textId="77777777" w:rsidTr="00E72571">
        <w:tc>
          <w:tcPr>
            <w:tcW w:w="1413" w:type="dxa"/>
            <w:vAlign w:val="center"/>
          </w:tcPr>
          <w:p w14:paraId="45807D20" w14:textId="3EBDED96" w:rsidR="009C4C88" w:rsidRDefault="00DC5C93" w:rsidP="00935A1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Razvojna aktivnost 1.3.1</w:t>
            </w:r>
            <w:r w:rsidRPr="00DB7DE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Internacionalizacija rezultata</w:t>
            </w:r>
            <w:r w:rsidR="008242A3"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istraživanja</w:t>
            </w: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0E8C000" w14:textId="63837731" w:rsidR="009C4C88" w:rsidRPr="00DB7DE4" w:rsidRDefault="009C4C88" w:rsidP="009C4C88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029EF1A4" w14:textId="77777777" w:rsidR="003C6A42" w:rsidRDefault="008242A3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Organiziranje međunarodnih konferencija  i prezentiranje rezultata znanstvenih programa u inozemstvu </w:t>
            </w:r>
          </w:p>
          <w:p w14:paraId="0C1AA861" w14:textId="1750677D" w:rsidR="009C4C88" w:rsidRPr="00DB7DE4" w:rsidRDefault="009C4C88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75BA45AF" w14:textId="77777777" w:rsidR="003C6A42" w:rsidRPr="00DB7DE4" w:rsidRDefault="00A43C0D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Znanstvenik i suradnik</w:t>
            </w:r>
          </w:p>
        </w:tc>
        <w:tc>
          <w:tcPr>
            <w:tcW w:w="1119" w:type="dxa"/>
            <w:vAlign w:val="center"/>
          </w:tcPr>
          <w:p w14:paraId="0610507A" w14:textId="77777777" w:rsidR="003C6A42" w:rsidRPr="00DB7DE4" w:rsidRDefault="007E789B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9" w:type="dxa"/>
            <w:vAlign w:val="center"/>
          </w:tcPr>
          <w:p w14:paraId="3AEBFC36" w14:textId="77777777" w:rsidR="003C6A42" w:rsidRPr="00DB7DE4" w:rsidRDefault="00A43C0D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Znanstveni odjel Instituta</w:t>
            </w:r>
            <w:r w:rsidR="00AE7569"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- Izvješće o radu</w:t>
            </w:r>
          </w:p>
        </w:tc>
        <w:tc>
          <w:tcPr>
            <w:tcW w:w="1119" w:type="dxa"/>
            <w:vAlign w:val="center"/>
          </w:tcPr>
          <w:p w14:paraId="0A377DAF" w14:textId="77777777" w:rsidR="003C6A42" w:rsidRPr="00DB7DE4" w:rsidRDefault="00A43C0D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19" w:type="dxa"/>
            <w:vAlign w:val="center"/>
          </w:tcPr>
          <w:p w14:paraId="0DDD62CB" w14:textId="6218108C" w:rsidR="003C6A42" w:rsidRPr="00DB7DE4" w:rsidRDefault="00A43C0D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C5B33" w:rsidRPr="00DB7D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9" w:type="dxa"/>
            <w:vAlign w:val="center"/>
          </w:tcPr>
          <w:p w14:paraId="0123AC6A" w14:textId="6328F560" w:rsidR="003C6A42" w:rsidRPr="00DB7DE4" w:rsidRDefault="001C1B54" w:rsidP="00B7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DC5C93" w:rsidRPr="00DB7DE4" w14:paraId="1BF78968" w14:textId="77777777" w:rsidTr="00E72571">
        <w:tc>
          <w:tcPr>
            <w:tcW w:w="1413" w:type="dxa"/>
            <w:vAlign w:val="center"/>
          </w:tcPr>
          <w:p w14:paraId="401E5453" w14:textId="77777777" w:rsidR="00A43C0D" w:rsidRPr="00DB7DE4" w:rsidRDefault="00DC5C93" w:rsidP="00935A1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>Posebni cilj 1.5.</w:t>
            </w:r>
            <w:r w:rsidRPr="00DB7D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6695DA81" w14:textId="77777777" w:rsidR="00DC5C93" w:rsidRPr="00DB7DE4" w:rsidRDefault="00DC5C93" w:rsidP="00935A1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Pokazatelj rezultata 1:</w:t>
            </w: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Broj pohađanih i održanih edukacija u svrhu jačanja potencijala stručnih službi</w:t>
            </w:r>
          </w:p>
        </w:tc>
        <w:tc>
          <w:tcPr>
            <w:tcW w:w="1372" w:type="dxa"/>
            <w:vAlign w:val="center"/>
          </w:tcPr>
          <w:p w14:paraId="1DEC655A" w14:textId="77777777" w:rsidR="00DC5C93" w:rsidRPr="00DB7DE4" w:rsidRDefault="00A43C0D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DC5C93"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dukacije vezane uz otvorenu znanost odnosno čuvanje, obradu, dijeljenje i objave rezultata znanstvenih i stručnih projekata </w:t>
            </w:r>
          </w:p>
        </w:tc>
        <w:tc>
          <w:tcPr>
            <w:tcW w:w="1022" w:type="dxa"/>
            <w:vAlign w:val="center"/>
          </w:tcPr>
          <w:p w14:paraId="10F8E30C" w14:textId="77777777" w:rsidR="00DC5C93" w:rsidRPr="00DB7DE4" w:rsidRDefault="00A43C0D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Zaposlenik</w:t>
            </w:r>
          </w:p>
        </w:tc>
        <w:tc>
          <w:tcPr>
            <w:tcW w:w="1119" w:type="dxa"/>
            <w:vAlign w:val="center"/>
          </w:tcPr>
          <w:p w14:paraId="372B036D" w14:textId="77777777" w:rsidR="00DC5C93" w:rsidRPr="00DB7DE4" w:rsidRDefault="007E789B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9" w:type="dxa"/>
            <w:vAlign w:val="center"/>
          </w:tcPr>
          <w:p w14:paraId="082F2BB1" w14:textId="77777777" w:rsidR="00DC5C93" w:rsidRPr="00DB7DE4" w:rsidRDefault="00A43C0D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Uprava Instituta</w:t>
            </w:r>
            <w:r w:rsidR="00AE7569"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- Izvješće o radu</w:t>
            </w:r>
          </w:p>
        </w:tc>
        <w:tc>
          <w:tcPr>
            <w:tcW w:w="1119" w:type="dxa"/>
            <w:vAlign w:val="center"/>
          </w:tcPr>
          <w:p w14:paraId="14ABD688" w14:textId="32EC9EA8" w:rsidR="00DC5C93" w:rsidRPr="00DB7DE4" w:rsidRDefault="00DC5B33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9" w:type="dxa"/>
            <w:vAlign w:val="center"/>
          </w:tcPr>
          <w:p w14:paraId="1F51DFD9" w14:textId="26DB77C3" w:rsidR="00DC5C93" w:rsidRPr="00DB7DE4" w:rsidRDefault="00A43C0D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C5B33" w:rsidRPr="00DB7DE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19" w:type="dxa"/>
            <w:vAlign w:val="center"/>
          </w:tcPr>
          <w:p w14:paraId="23054367" w14:textId="5C2EDFB6" w:rsidR="00DC5C93" w:rsidRPr="00DB7DE4" w:rsidRDefault="001C1B54" w:rsidP="00B7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DC5C93" w:rsidRPr="00DB7DE4" w14:paraId="1D381074" w14:textId="77777777" w:rsidTr="00E72571">
        <w:tc>
          <w:tcPr>
            <w:tcW w:w="1413" w:type="dxa"/>
            <w:vAlign w:val="center"/>
          </w:tcPr>
          <w:p w14:paraId="025F1D19" w14:textId="77777777" w:rsidR="00935A1C" w:rsidRPr="00DB7DE4" w:rsidRDefault="00DC5C93" w:rsidP="00935A1C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Posebni cilj 1.6. </w:t>
            </w:r>
          </w:p>
          <w:p w14:paraId="15EBF20B" w14:textId="77777777" w:rsidR="00DC5C93" w:rsidRPr="00DB7DE4" w:rsidRDefault="00DC5C93" w:rsidP="00935A1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b/>
                <w:sz w:val="20"/>
                <w:szCs w:val="20"/>
              </w:rPr>
              <w:t>Pokazatelj rezultata 1:</w:t>
            </w: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Ukupno ulaganje javnog znanstvenog instituta u istraživačku opremu iz vlastitih sredstava</w:t>
            </w:r>
          </w:p>
        </w:tc>
        <w:tc>
          <w:tcPr>
            <w:tcW w:w="1372" w:type="dxa"/>
            <w:vAlign w:val="center"/>
          </w:tcPr>
          <w:p w14:paraId="17B15F0D" w14:textId="77777777" w:rsidR="00DC5C93" w:rsidRPr="00DB7DE4" w:rsidRDefault="00A43C0D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Unapređenje metoda prikupljanja i obrade podataka korištenjem suvremene opreme i programskih paketa</w:t>
            </w:r>
          </w:p>
        </w:tc>
        <w:tc>
          <w:tcPr>
            <w:tcW w:w="1022" w:type="dxa"/>
            <w:vAlign w:val="center"/>
          </w:tcPr>
          <w:p w14:paraId="0A98320B" w14:textId="77777777" w:rsidR="00DC5C93" w:rsidRPr="00DB7DE4" w:rsidRDefault="00A43C0D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7B0CD8" w:rsidRPr="00DB7DE4">
              <w:rPr>
                <w:rFonts w:ascii="Times New Roman" w:hAnsi="Times New Roman" w:cs="Times New Roman"/>
                <w:sz w:val="20"/>
                <w:szCs w:val="20"/>
              </w:rPr>
              <w:t>znos</w:t>
            </w:r>
          </w:p>
        </w:tc>
        <w:tc>
          <w:tcPr>
            <w:tcW w:w="1119" w:type="dxa"/>
            <w:vAlign w:val="center"/>
          </w:tcPr>
          <w:p w14:paraId="0BC48BF1" w14:textId="77777777" w:rsidR="00DC5C93" w:rsidRPr="00DB7DE4" w:rsidRDefault="007E789B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9" w:type="dxa"/>
            <w:vAlign w:val="center"/>
          </w:tcPr>
          <w:p w14:paraId="0E395C05" w14:textId="77777777" w:rsidR="00DC5C93" w:rsidRPr="00DB7DE4" w:rsidRDefault="00A43C0D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Uprava Instituta</w:t>
            </w:r>
            <w:r w:rsidR="00AE7569"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- Izvješće o radu</w:t>
            </w:r>
          </w:p>
        </w:tc>
        <w:tc>
          <w:tcPr>
            <w:tcW w:w="1119" w:type="dxa"/>
            <w:vAlign w:val="center"/>
          </w:tcPr>
          <w:p w14:paraId="498BD986" w14:textId="7E5203B9" w:rsidR="00DC5C93" w:rsidRPr="00DB7DE4" w:rsidRDefault="00DC0CE6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36F2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A43C0D"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.000 </w:t>
            </w:r>
            <w:r w:rsidR="0004158E" w:rsidRPr="00DB7DE4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119" w:type="dxa"/>
            <w:vAlign w:val="center"/>
          </w:tcPr>
          <w:p w14:paraId="1524BBE1" w14:textId="51BCF0ED" w:rsidR="00DC5C93" w:rsidRPr="00DB7DE4" w:rsidRDefault="00DC5B33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A43C0D"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.000 </w:t>
            </w:r>
            <w:r w:rsidR="0004158E" w:rsidRPr="00DB7DE4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1119" w:type="dxa"/>
            <w:vAlign w:val="center"/>
          </w:tcPr>
          <w:p w14:paraId="3D48642E" w14:textId="53783808" w:rsidR="00DC5B33" w:rsidRPr="00DB7DE4" w:rsidRDefault="001C1B54" w:rsidP="00DC5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10.000,00 €</w:t>
            </w:r>
          </w:p>
        </w:tc>
      </w:tr>
      <w:tr w:rsidR="00DC5C93" w:rsidRPr="00DB7DE4" w14:paraId="6C7D7E5A" w14:textId="77777777" w:rsidTr="00E72571">
        <w:tc>
          <w:tcPr>
            <w:tcW w:w="1413" w:type="dxa"/>
            <w:vAlign w:val="center"/>
          </w:tcPr>
          <w:p w14:paraId="0ADC0085" w14:textId="77777777" w:rsidR="00A43C0D" w:rsidRPr="00DB7DE4" w:rsidRDefault="00DC5C93" w:rsidP="00935A1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Posebni cilj 1.7.</w:t>
            </w:r>
            <w:r w:rsidRPr="00DB7DE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350CA1A5" w14:textId="77777777" w:rsidR="00A43C0D" w:rsidRPr="00DB7DE4" w:rsidRDefault="00DC5C93" w:rsidP="00935A1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b/>
                <w:sz w:val="20"/>
                <w:szCs w:val="20"/>
              </w:rPr>
              <w:t>Pokazatelj rezultata 1</w:t>
            </w: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0A1FAAD" w14:textId="77777777" w:rsidR="00DC5C93" w:rsidRPr="00DB7DE4" w:rsidRDefault="00DC5C93" w:rsidP="00935A1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Broj provedenih mjera i uvedenih alata za poticanje politike otvorene znanosti</w:t>
            </w:r>
          </w:p>
        </w:tc>
        <w:tc>
          <w:tcPr>
            <w:tcW w:w="1372" w:type="dxa"/>
            <w:vAlign w:val="center"/>
          </w:tcPr>
          <w:p w14:paraId="211AA07B" w14:textId="77777777" w:rsidR="00DC5C93" w:rsidRPr="00DB7DE4" w:rsidRDefault="00A43C0D" w:rsidP="00935A1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DC5C93" w:rsidRPr="00DB7DE4">
              <w:rPr>
                <w:rFonts w:ascii="Times New Roman" w:hAnsi="Times New Roman" w:cs="Times New Roman"/>
                <w:sz w:val="20"/>
                <w:szCs w:val="20"/>
              </w:rPr>
              <w:t>zda</w:t>
            </w:r>
            <w:r w:rsidR="008242A3" w:rsidRPr="00DB7DE4">
              <w:rPr>
                <w:rFonts w:ascii="Times New Roman" w:hAnsi="Times New Roman" w:cs="Times New Roman"/>
                <w:sz w:val="20"/>
                <w:szCs w:val="20"/>
              </w:rPr>
              <w:t>vanje</w:t>
            </w:r>
            <w:r w:rsidR="00DC5C93"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časopis</w:t>
            </w:r>
            <w:r w:rsidR="008242A3" w:rsidRPr="00DB7DE4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DC5C93"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42A3"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i ostalih izdanja </w:t>
            </w:r>
            <w:r w:rsidR="00DC5C93" w:rsidRPr="00DB7DE4">
              <w:rPr>
                <w:rFonts w:ascii="Times New Roman" w:hAnsi="Times New Roman" w:cs="Times New Roman"/>
                <w:sz w:val="20"/>
                <w:szCs w:val="20"/>
              </w:rPr>
              <w:t>u otvorenom pristupu</w:t>
            </w:r>
          </w:p>
          <w:p w14:paraId="158B5C2A" w14:textId="77777777" w:rsidR="00DC5C93" w:rsidRPr="00DB7DE4" w:rsidRDefault="00DC5C93" w:rsidP="00935A1C">
            <w:pPr>
              <w:pStyle w:val="NoSpacing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5B63B1" w14:textId="77777777" w:rsidR="00DC5C93" w:rsidRPr="00DB7DE4" w:rsidRDefault="00DC5C93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330C4C20" w14:textId="77777777" w:rsidR="00DC5C93" w:rsidRPr="00DB7DE4" w:rsidRDefault="007B0CD8" w:rsidP="00E662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8242A3" w:rsidRPr="00DB7DE4">
              <w:rPr>
                <w:rFonts w:ascii="Times New Roman" w:hAnsi="Times New Roman" w:cs="Times New Roman"/>
                <w:sz w:val="20"/>
                <w:szCs w:val="20"/>
              </w:rPr>
              <w:t>roj</w:t>
            </w: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publikacija</w:t>
            </w:r>
          </w:p>
        </w:tc>
        <w:tc>
          <w:tcPr>
            <w:tcW w:w="1119" w:type="dxa"/>
            <w:vAlign w:val="center"/>
          </w:tcPr>
          <w:p w14:paraId="79D144C2" w14:textId="77777777" w:rsidR="00DC5C93" w:rsidRPr="00DB7DE4" w:rsidRDefault="007E789B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9" w:type="dxa"/>
            <w:vAlign w:val="center"/>
          </w:tcPr>
          <w:p w14:paraId="6C47BE36" w14:textId="77777777" w:rsidR="00DC5C93" w:rsidRPr="00DB7DE4" w:rsidRDefault="008242A3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Znanstveni odjel Instituta</w:t>
            </w:r>
            <w:r w:rsidR="00AE7569"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- Izvješće o radu</w:t>
            </w:r>
          </w:p>
        </w:tc>
        <w:tc>
          <w:tcPr>
            <w:tcW w:w="1119" w:type="dxa"/>
            <w:vAlign w:val="center"/>
          </w:tcPr>
          <w:p w14:paraId="175901A6" w14:textId="2C788B5D" w:rsidR="00DC5C93" w:rsidRPr="00DB7DE4" w:rsidRDefault="00DC5B33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19" w:type="dxa"/>
            <w:vAlign w:val="center"/>
          </w:tcPr>
          <w:p w14:paraId="4CA103A9" w14:textId="44F19C0A" w:rsidR="00DC5C93" w:rsidRPr="00DB7DE4" w:rsidRDefault="00DC5B33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19" w:type="dxa"/>
            <w:vAlign w:val="center"/>
          </w:tcPr>
          <w:p w14:paraId="581659BD" w14:textId="460A5B3B" w:rsidR="00DC5C93" w:rsidRPr="00DB7DE4" w:rsidRDefault="001C1B54" w:rsidP="00B77E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C5C93" w:rsidRPr="00DB7DE4" w14:paraId="739D4E13" w14:textId="77777777" w:rsidTr="00E72571">
        <w:tc>
          <w:tcPr>
            <w:tcW w:w="1413" w:type="dxa"/>
            <w:vAlign w:val="center"/>
          </w:tcPr>
          <w:p w14:paraId="2565229B" w14:textId="77777777" w:rsidR="008242A3" w:rsidRPr="00DB7DE4" w:rsidRDefault="00DC5C93" w:rsidP="00935A1C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Posebni cilj 1.8. </w:t>
            </w:r>
          </w:p>
          <w:p w14:paraId="33ED5AF8" w14:textId="77777777" w:rsidR="00DC5C93" w:rsidRPr="00DB7DE4" w:rsidRDefault="00DC5C93" w:rsidP="00935A1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b/>
                <w:sz w:val="20"/>
                <w:szCs w:val="20"/>
              </w:rPr>
              <w:t>Pokazatelj rezultata 1</w:t>
            </w: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: Broj znanstvenih knjiga</w:t>
            </w:r>
          </w:p>
        </w:tc>
        <w:tc>
          <w:tcPr>
            <w:tcW w:w="1372" w:type="dxa"/>
            <w:vAlign w:val="center"/>
          </w:tcPr>
          <w:p w14:paraId="33C79A96" w14:textId="77777777" w:rsidR="00DC5C93" w:rsidRPr="00DB7DE4" w:rsidRDefault="008242A3" w:rsidP="00935A1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Objava </w:t>
            </w:r>
            <w:r w:rsidR="00A43C0D" w:rsidRPr="00DB7DE4">
              <w:rPr>
                <w:rFonts w:ascii="Times New Roman" w:hAnsi="Times New Roman" w:cs="Times New Roman"/>
                <w:sz w:val="20"/>
                <w:szCs w:val="20"/>
              </w:rPr>
              <w:t>monografija i zbornika</w:t>
            </w: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022" w:type="dxa"/>
            <w:vAlign w:val="center"/>
          </w:tcPr>
          <w:p w14:paraId="0B8232B4" w14:textId="77777777" w:rsidR="00DC5C93" w:rsidRPr="00DB7DE4" w:rsidRDefault="007B0CD8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8242A3" w:rsidRPr="00DB7DE4">
              <w:rPr>
                <w:rFonts w:ascii="Times New Roman" w:hAnsi="Times New Roman" w:cs="Times New Roman"/>
                <w:sz w:val="20"/>
                <w:szCs w:val="20"/>
              </w:rPr>
              <w:t>roj</w:t>
            </w: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publikacija</w:t>
            </w:r>
          </w:p>
        </w:tc>
        <w:tc>
          <w:tcPr>
            <w:tcW w:w="1119" w:type="dxa"/>
            <w:vAlign w:val="center"/>
          </w:tcPr>
          <w:p w14:paraId="1CDFDE70" w14:textId="77777777" w:rsidR="00DC5C93" w:rsidRPr="00DB7DE4" w:rsidRDefault="007E789B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9" w:type="dxa"/>
            <w:vAlign w:val="center"/>
          </w:tcPr>
          <w:p w14:paraId="53652742" w14:textId="77777777" w:rsidR="00DC5C93" w:rsidRPr="00DB7DE4" w:rsidRDefault="008242A3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Znanstveni odjel Instituta</w:t>
            </w:r>
            <w:r w:rsidR="00AE7569"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- Izvješće o radu</w:t>
            </w:r>
          </w:p>
        </w:tc>
        <w:tc>
          <w:tcPr>
            <w:tcW w:w="1119" w:type="dxa"/>
            <w:vAlign w:val="center"/>
          </w:tcPr>
          <w:p w14:paraId="6A9FEE22" w14:textId="3E4C258F" w:rsidR="00DC5C93" w:rsidRPr="00DB7DE4" w:rsidRDefault="00DC5B33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9" w:type="dxa"/>
            <w:vAlign w:val="center"/>
          </w:tcPr>
          <w:p w14:paraId="147F826B" w14:textId="7183CF1C" w:rsidR="00DC5C93" w:rsidRPr="00DB7DE4" w:rsidRDefault="00DC5B33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9" w:type="dxa"/>
            <w:vAlign w:val="center"/>
          </w:tcPr>
          <w:p w14:paraId="7ABB0435" w14:textId="165AB57C" w:rsidR="00DC5C93" w:rsidRPr="00DB7DE4" w:rsidRDefault="001C1B54" w:rsidP="00824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C5C93" w:rsidRPr="00DB7DE4" w14:paraId="4DDF27C5" w14:textId="77777777" w:rsidTr="00E72571">
        <w:tc>
          <w:tcPr>
            <w:tcW w:w="1413" w:type="dxa"/>
            <w:vAlign w:val="center"/>
          </w:tcPr>
          <w:p w14:paraId="74C93399" w14:textId="77777777" w:rsidR="00935A1C" w:rsidRPr="00DB7DE4" w:rsidRDefault="00DC5C93" w:rsidP="00935A1C">
            <w:pPr>
              <w:pStyle w:val="NoSpacing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Posebni cilj 2.3. </w:t>
            </w:r>
          </w:p>
          <w:p w14:paraId="6E9606F7" w14:textId="77777777" w:rsidR="00DC5C93" w:rsidRDefault="00DC5C93" w:rsidP="00935A1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b/>
                <w:sz w:val="20"/>
                <w:szCs w:val="20"/>
              </w:rPr>
              <w:t>Pokazatelj rezultata 1</w:t>
            </w: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: Broj ugovorenih projekata za pružanje usluga gospodarstvu i javnim tijelima u razvoju kulture i obrazovanja</w:t>
            </w:r>
          </w:p>
          <w:p w14:paraId="65CD68CB" w14:textId="531BDA64" w:rsidR="003B6FD3" w:rsidRPr="00DB7DE4" w:rsidRDefault="003B6FD3" w:rsidP="00935A1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Align w:val="center"/>
          </w:tcPr>
          <w:p w14:paraId="143A2976" w14:textId="77777777" w:rsidR="008242A3" w:rsidRPr="00DB7DE4" w:rsidRDefault="00AE7569" w:rsidP="00935A1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242A3" w:rsidRPr="00DB7DE4">
              <w:rPr>
                <w:rFonts w:ascii="Times New Roman" w:hAnsi="Times New Roman" w:cs="Times New Roman"/>
                <w:sz w:val="20"/>
                <w:szCs w:val="20"/>
              </w:rPr>
              <w:t>rojek</w:t>
            </w:r>
            <w:r w:rsidR="006E26A3" w:rsidRPr="00DB7DE4">
              <w:rPr>
                <w:rFonts w:ascii="Times New Roman" w:hAnsi="Times New Roman" w:cs="Times New Roman"/>
                <w:sz w:val="20"/>
                <w:szCs w:val="20"/>
              </w:rPr>
              <w:t>ti</w:t>
            </w:r>
            <w:r w:rsidR="008242A3"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z</w:t>
            </w:r>
            <w:r w:rsidR="006E26A3" w:rsidRPr="00DB7DE4">
              <w:rPr>
                <w:rFonts w:ascii="Times New Roman" w:hAnsi="Times New Roman" w:cs="Times New Roman"/>
                <w:sz w:val="20"/>
                <w:szCs w:val="20"/>
              </w:rPr>
              <w:t>a pružanje usluga gospodarstvu</w:t>
            </w:r>
          </w:p>
          <w:p w14:paraId="1655550F" w14:textId="77777777" w:rsidR="008242A3" w:rsidRPr="00DB7DE4" w:rsidRDefault="008242A3" w:rsidP="00935A1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ACD4F9" w14:textId="77777777" w:rsidR="00DC5C93" w:rsidRPr="00DB7DE4" w:rsidRDefault="00DC5C93" w:rsidP="00935A1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  <w:vAlign w:val="center"/>
          </w:tcPr>
          <w:p w14:paraId="1B733AF6" w14:textId="77777777" w:rsidR="00DC5C93" w:rsidRPr="00DB7DE4" w:rsidRDefault="007B0CD8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6E26A3" w:rsidRPr="00DB7DE4">
              <w:rPr>
                <w:rFonts w:ascii="Times New Roman" w:hAnsi="Times New Roman" w:cs="Times New Roman"/>
                <w:sz w:val="20"/>
                <w:szCs w:val="20"/>
              </w:rPr>
              <w:t>roj</w:t>
            </w: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ugovora</w:t>
            </w:r>
          </w:p>
        </w:tc>
        <w:tc>
          <w:tcPr>
            <w:tcW w:w="1119" w:type="dxa"/>
            <w:vAlign w:val="center"/>
          </w:tcPr>
          <w:p w14:paraId="2EA9B56D" w14:textId="77777777" w:rsidR="00DC5C93" w:rsidRPr="00DB7DE4" w:rsidRDefault="007E789B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9" w:type="dxa"/>
            <w:vAlign w:val="center"/>
          </w:tcPr>
          <w:p w14:paraId="3FA1EA11" w14:textId="77777777" w:rsidR="00DC5C93" w:rsidRPr="00DB7DE4" w:rsidRDefault="006E26A3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Uprava Instituta</w:t>
            </w:r>
            <w:r w:rsidR="00AE7569"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- Izvješće o radu</w:t>
            </w:r>
          </w:p>
        </w:tc>
        <w:tc>
          <w:tcPr>
            <w:tcW w:w="1119" w:type="dxa"/>
            <w:vAlign w:val="center"/>
          </w:tcPr>
          <w:p w14:paraId="419D755A" w14:textId="47B640E7" w:rsidR="00DC5C93" w:rsidRPr="00DB7DE4" w:rsidRDefault="00DC5B33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19" w:type="dxa"/>
            <w:vAlign w:val="center"/>
          </w:tcPr>
          <w:p w14:paraId="50ABDC1B" w14:textId="384AA9D5" w:rsidR="00DC5C93" w:rsidRPr="00DB7DE4" w:rsidRDefault="00DC5B33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19" w:type="dxa"/>
            <w:vAlign w:val="center"/>
          </w:tcPr>
          <w:p w14:paraId="6C27CC8D" w14:textId="2DA7A195" w:rsidR="00DC5C93" w:rsidRPr="00DB7DE4" w:rsidRDefault="001C1B54" w:rsidP="00824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242A3" w:rsidRPr="00DB7DE4" w14:paraId="1EFA11B9" w14:textId="77777777" w:rsidTr="00E72571">
        <w:tc>
          <w:tcPr>
            <w:tcW w:w="1413" w:type="dxa"/>
            <w:vAlign w:val="center"/>
          </w:tcPr>
          <w:p w14:paraId="050595CC" w14:textId="77777777" w:rsidR="006E26A3" w:rsidRPr="00DB7DE4" w:rsidRDefault="006E26A3" w:rsidP="00935A1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Posebni cilj 2.3.</w:t>
            </w:r>
          </w:p>
          <w:p w14:paraId="425075CC" w14:textId="77777777" w:rsidR="008242A3" w:rsidRPr="00DB7DE4" w:rsidRDefault="008242A3" w:rsidP="00935A1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b/>
                <w:sz w:val="20"/>
                <w:szCs w:val="20"/>
              </w:rPr>
              <w:t>Pokazatelj rezultata 2:</w:t>
            </w: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Vrijednost projekata za usluge gospodarstvu i javnim tijelima u razvoju kulture i obrazovanja</w:t>
            </w:r>
          </w:p>
        </w:tc>
        <w:tc>
          <w:tcPr>
            <w:tcW w:w="1372" w:type="dxa"/>
            <w:vAlign w:val="center"/>
          </w:tcPr>
          <w:p w14:paraId="23C3DFEA" w14:textId="77777777" w:rsidR="008242A3" w:rsidRPr="00DB7DE4" w:rsidRDefault="00C03C88" w:rsidP="00935A1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8242A3"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kupna vrijednost ostvarenih prihoda </w:t>
            </w:r>
          </w:p>
        </w:tc>
        <w:tc>
          <w:tcPr>
            <w:tcW w:w="1022" w:type="dxa"/>
            <w:vAlign w:val="center"/>
          </w:tcPr>
          <w:p w14:paraId="2C71CE74" w14:textId="77777777" w:rsidR="008242A3" w:rsidRPr="00DB7DE4" w:rsidRDefault="00AE7569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C03C88" w:rsidRPr="00DB7DE4">
              <w:rPr>
                <w:rFonts w:ascii="Times New Roman" w:hAnsi="Times New Roman" w:cs="Times New Roman"/>
                <w:sz w:val="20"/>
                <w:szCs w:val="20"/>
              </w:rPr>
              <w:t>znos</w:t>
            </w:r>
          </w:p>
        </w:tc>
        <w:tc>
          <w:tcPr>
            <w:tcW w:w="1119" w:type="dxa"/>
            <w:vAlign w:val="center"/>
          </w:tcPr>
          <w:p w14:paraId="250A05B2" w14:textId="77777777" w:rsidR="008242A3" w:rsidRPr="00DB7DE4" w:rsidRDefault="007E789B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119" w:type="dxa"/>
            <w:vAlign w:val="center"/>
          </w:tcPr>
          <w:p w14:paraId="3261C804" w14:textId="6161AD1F" w:rsidR="00DA6D43" w:rsidRDefault="00C03C88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Uprava Instituta</w:t>
            </w:r>
            <w:r w:rsidR="00AE7569"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A6D4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AE7569"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C893111" w14:textId="408F8190" w:rsidR="008242A3" w:rsidRPr="00DB7DE4" w:rsidRDefault="00AE7569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Izvješće o radu</w:t>
            </w:r>
          </w:p>
        </w:tc>
        <w:tc>
          <w:tcPr>
            <w:tcW w:w="1119" w:type="dxa"/>
            <w:vAlign w:val="center"/>
          </w:tcPr>
          <w:p w14:paraId="062C23E2" w14:textId="64FC17A4" w:rsidR="008242A3" w:rsidRPr="00DB7DE4" w:rsidRDefault="00DC0CE6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161</w:t>
            </w:r>
            <w:r w:rsidR="0084027D" w:rsidRPr="00DB7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000,00</w:t>
            </w:r>
            <w:r w:rsidR="0004158E" w:rsidRPr="00DB7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€</w:t>
            </w:r>
          </w:p>
        </w:tc>
        <w:tc>
          <w:tcPr>
            <w:tcW w:w="1119" w:type="dxa"/>
            <w:vAlign w:val="center"/>
          </w:tcPr>
          <w:p w14:paraId="66694C3F" w14:textId="18AF414F" w:rsidR="008242A3" w:rsidRPr="00DB7DE4" w:rsidRDefault="00DC5B33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  <w:r w:rsidR="0084027D" w:rsidRPr="00DB7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.000,00</w:t>
            </w:r>
            <w:r w:rsidR="0004158E" w:rsidRPr="00DB7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€</w:t>
            </w:r>
          </w:p>
        </w:tc>
        <w:tc>
          <w:tcPr>
            <w:tcW w:w="1119" w:type="dxa"/>
            <w:vAlign w:val="center"/>
          </w:tcPr>
          <w:p w14:paraId="709F0119" w14:textId="5D4141CD" w:rsidR="008242A3" w:rsidRPr="00DB7DE4" w:rsidRDefault="00DC0CE6" w:rsidP="00824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</w:t>
            </w:r>
            <w:r w:rsidR="0084027D" w:rsidRPr="00DB7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.000,00</w:t>
            </w:r>
            <w:r w:rsidR="0004158E" w:rsidRPr="00DB7DE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€</w:t>
            </w:r>
          </w:p>
        </w:tc>
      </w:tr>
      <w:tr w:rsidR="00DC5C93" w:rsidRPr="00DB7DE4" w14:paraId="4199F414" w14:textId="77777777" w:rsidTr="00E72571">
        <w:tc>
          <w:tcPr>
            <w:tcW w:w="1413" w:type="dxa"/>
            <w:vAlign w:val="center"/>
          </w:tcPr>
          <w:p w14:paraId="7A86A093" w14:textId="77777777" w:rsidR="00DC5C93" w:rsidRPr="00DB7DE4" w:rsidRDefault="00DC5C93" w:rsidP="00935A1C">
            <w:pPr>
              <w:pStyle w:val="Heading3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lastRenderedPageBreak/>
              <w:t xml:space="preserve">Posebni cilj 3.4. </w:t>
            </w:r>
          </w:p>
          <w:p w14:paraId="19CB145A" w14:textId="77777777" w:rsidR="00DC5C93" w:rsidRPr="00DB7DE4" w:rsidRDefault="00DC5C93" w:rsidP="00935A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Pokazatelj rezultata 1:</w:t>
            </w: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B7DE4">
              <w:rPr>
                <w:rFonts w:ascii="Times New Roman" w:hAnsi="Times New Roman" w:cs="Times New Roman"/>
                <w:bCs/>
                <w:sz w:val="20"/>
                <w:szCs w:val="20"/>
              </w:rPr>
              <w:t>Iznos vlastitih i namjenskih sredstava utrošen na projekte s ciljem digitalne transformacije poslovanja</w:t>
            </w:r>
          </w:p>
        </w:tc>
        <w:tc>
          <w:tcPr>
            <w:tcW w:w="1372" w:type="dxa"/>
            <w:vAlign w:val="center"/>
          </w:tcPr>
          <w:p w14:paraId="1ED8785F" w14:textId="77777777" w:rsidR="00DC5C93" w:rsidRPr="00DB7DE4" w:rsidRDefault="00E15B99" w:rsidP="00935A1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="008242A3" w:rsidRPr="00DB7DE4">
              <w:rPr>
                <w:rFonts w:ascii="Times New Roman" w:hAnsi="Times New Roman" w:cs="Times New Roman"/>
                <w:sz w:val="20"/>
                <w:szCs w:val="20"/>
              </w:rPr>
              <w:t>ostup</w:t>
            </w: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  <w:r w:rsidR="008242A3"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u administraciji vezan</w:t>
            </w: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8242A3"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za financijsko poslovanje </w:t>
            </w: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i stručni rad</w:t>
            </w:r>
          </w:p>
        </w:tc>
        <w:tc>
          <w:tcPr>
            <w:tcW w:w="1022" w:type="dxa"/>
            <w:vAlign w:val="center"/>
          </w:tcPr>
          <w:p w14:paraId="718E8669" w14:textId="77777777" w:rsidR="00DC5C93" w:rsidRPr="00DB7DE4" w:rsidRDefault="007B0CD8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E15B99" w:rsidRPr="00DB7DE4">
              <w:rPr>
                <w:rFonts w:ascii="Times New Roman" w:hAnsi="Times New Roman" w:cs="Times New Roman"/>
                <w:sz w:val="20"/>
                <w:szCs w:val="20"/>
              </w:rPr>
              <w:t>roj</w:t>
            </w: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aktivnosti</w:t>
            </w:r>
          </w:p>
        </w:tc>
        <w:tc>
          <w:tcPr>
            <w:tcW w:w="1119" w:type="dxa"/>
            <w:vAlign w:val="center"/>
          </w:tcPr>
          <w:p w14:paraId="03C7694D" w14:textId="77777777" w:rsidR="00DC5C93" w:rsidRPr="00DB7DE4" w:rsidRDefault="007E789B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9" w:type="dxa"/>
            <w:vAlign w:val="center"/>
          </w:tcPr>
          <w:p w14:paraId="141F6BE4" w14:textId="77777777" w:rsidR="00DC5C93" w:rsidRPr="00DB7DE4" w:rsidRDefault="00E15B99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Uprava Instituta</w:t>
            </w:r>
            <w:r w:rsidR="00AE7569"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– financijsko izvješće</w:t>
            </w:r>
          </w:p>
        </w:tc>
        <w:tc>
          <w:tcPr>
            <w:tcW w:w="1119" w:type="dxa"/>
            <w:vAlign w:val="center"/>
          </w:tcPr>
          <w:p w14:paraId="147AD728" w14:textId="77777777" w:rsidR="00DC5C93" w:rsidRPr="00DB7DE4" w:rsidRDefault="00E15B99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9" w:type="dxa"/>
            <w:vAlign w:val="center"/>
          </w:tcPr>
          <w:p w14:paraId="479CDE64" w14:textId="6FA2D6AA" w:rsidR="00DC5C93" w:rsidRPr="00DB7DE4" w:rsidRDefault="00DC5B33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19" w:type="dxa"/>
            <w:vAlign w:val="center"/>
          </w:tcPr>
          <w:p w14:paraId="680C7965" w14:textId="12EE8FC6" w:rsidR="00DC5C93" w:rsidRPr="00DB7DE4" w:rsidRDefault="001C1B54" w:rsidP="00824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DC5C93" w:rsidRPr="00DB7DE4" w14:paraId="4DF3786D" w14:textId="77777777" w:rsidTr="00E72571"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4A357BAE" w14:textId="77777777" w:rsidR="00DC5C93" w:rsidRPr="00DB7DE4" w:rsidRDefault="00DC5C93" w:rsidP="00935A1C">
            <w:pPr>
              <w:pStyle w:val="Heading3"/>
              <w:jc w:val="center"/>
              <w:outlineLvl w:val="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Posebni cilj 3.6.</w:t>
            </w:r>
            <w:r w:rsidRPr="00DB7DE4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00D6A8F1" w14:textId="77777777" w:rsidR="00DC5C93" w:rsidRPr="00DB7DE4" w:rsidRDefault="00DC5C93" w:rsidP="00935A1C">
            <w:pPr>
              <w:spacing w:before="60" w:after="6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b/>
                <w:sz w:val="20"/>
                <w:szCs w:val="20"/>
              </w:rPr>
              <w:t>Pokazatelj rezultata 1:</w:t>
            </w: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Broj aktivnosti popularizacije znanosti</w:t>
            </w:r>
          </w:p>
        </w:tc>
        <w:tc>
          <w:tcPr>
            <w:tcW w:w="1372" w:type="dxa"/>
            <w:tcBorders>
              <w:bottom w:val="single" w:sz="4" w:space="0" w:color="auto"/>
            </w:tcBorders>
            <w:vAlign w:val="center"/>
          </w:tcPr>
          <w:p w14:paraId="461BDA27" w14:textId="77777777" w:rsidR="00E15B99" w:rsidRPr="00DB7DE4" w:rsidRDefault="00E15B99" w:rsidP="00935A1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Programi </w:t>
            </w:r>
            <w:r w:rsidR="008242A3"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popularizacije znanosti </w:t>
            </w:r>
          </w:p>
          <w:p w14:paraId="358CD147" w14:textId="77777777" w:rsidR="00DC5C93" w:rsidRPr="00DB7DE4" w:rsidRDefault="008242A3" w:rsidP="00935A1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otvorenih široj javnosti </w:t>
            </w: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14:paraId="76455E31" w14:textId="77777777" w:rsidR="00DC5C93" w:rsidRPr="00DB7DE4" w:rsidRDefault="007B0CD8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Broj </w:t>
            </w:r>
            <w:r w:rsidR="00E15B99" w:rsidRPr="00DB7DE4">
              <w:rPr>
                <w:rFonts w:ascii="Times New Roman" w:hAnsi="Times New Roman" w:cs="Times New Roman"/>
                <w:sz w:val="20"/>
                <w:szCs w:val="20"/>
              </w:rPr>
              <w:t>aktivnosti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5E3B6FFD" w14:textId="77777777" w:rsidR="00DC5C93" w:rsidRPr="00DB7DE4" w:rsidRDefault="007E789B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29443639" w14:textId="77777777" w:rsidR="00DC5C93" w:rsidRPr="00DB7DE4" w:rsidRDefault="00E15B99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Uprava Instituta</w:t>
            </w:r>
            <w:r w:rsidR="00AE7569"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– Izvješće o radu</w:t>
            </w: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38E0DF1B" w14:textId="0B89D8D8" w:rsidR="00DC5C93" w:rsidRPr="00DB7DE4" w:rsidRDefault="00DC5B33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25DBE3B4" w14:textId="4914B9D1" w:rsidR="00DC5C93" w:rsidRPr="00DB7DE4" w:rsidRDefault="00DC5B33" w:rsidP="00935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DE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9" w:type="dxa"/>
            <w:tcBorders>
              <w:bottom w:val="single" w:sz="4" w:space="0" w:color="auto"/>
            </w:tcBorders>
            <w:vAlign w:val="center"/>
          </w:tcPr>
          <w:p w14:paraId="7FBB4282" w14:textId="650E4CB5" w:rsidR="00DC5C93" w:rsidRPr="00DB7DE4" w:rsidRDefault="001C1B54" w:rsidP="008242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14:paraId="105FC98A" w14:textId="77777777" w:rsidR="00F815A6" w:rsidRPr="00DB7DE4" w:rsidRDefault="00F815A6" w:rsidP="00F815A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45C361BD" w14:textId="77777777" w:rsidR="009E1B17" w:rsidRPr="00DB7DE4" w:rsidRDefault="009E1B17" w:rsidP="009E1B17">
      <w:pPr>
        <w:pStyle w:val="ListParagraph"/>
        <w:spacing w:after="0"/>
        <w:ind w:left="1440"/>
        <w:jc w:val="both"/>
        <w:rPr>
          <w:rFonts w:ascii="Times New Roman" w:hAnsi="Times New Roman" w:cs="Times New Roman"/>
          <w:color w:val="0070C0"/>
          <w:sz w:val="20"/>
        </w:rPr>
      </w:pPr>
    </w:p>
    <w:p w14:paraId="738968BF" w14:textId="662B7B08" w:rsidR="004E02C5" w:rsidRDefault="00E24ADD" w:rsidP="009017B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Zagreb, 20. listopada 2025.</w:t>
      </w:r>
    </w:p>
    <w:p w14:paraId="2D1BDB97" w14:textId="243FDBDA" w:rsidR="00E24ADD" w:rsidRDefault="00E24ADD" w:rsidP="00E24ADD">
      <w:pPr>
        <w:rPr>
          <w:rFonts w:ascii="Times New Roman" w:hAnsi="Times New Roman" w:cs="Times New Roman"/>
        </w:rPr>
      </w:pPr>
    </w:p>
    <w:p w14:paraId="40E20C64" w14:textId="77777777" w:rsidR="00E24ADD" w:rsidRDefault="00E24ADD" w:rsidP="00E24ADD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6"/>
        <w:gridCol w:w="3181"/>
        <w:gridCol w:w="2835"/>
      </w:tblGrid>
      <w:tr w:rsidR="00E24ADD" w14:paraId="285A3722" w14:textId="77777777" w:rsidTr="00E24ADD">
        <w:tc>
          <w:tcPr>
            <w:tcW w:w="3056" w:type="dxa"/>
            <w:tcBorders>
              <w:bottom w:val="single" w:sz="4" w:space="0" w:color="auto"/>
            </w:tcBorders>
          </w:tcPr>
          <w:p w14:paraId="2C389BB5" w14:textId="77777777" w:rsidR="00E24ADD" w:rsidRPr="00E24ADD" w:rsidRDefault="00E24ADD" w:rsidP="00E2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ADD">
              <w:rPr>
                <w:rFonts w:ascii="Times New Roman" w:hAnsi="Times New Roman" w:cs="Times New Roman"/>
                <w:sz w:val="20"/>
                <w:szCs w:val="20"/>
              </w:rPr>
              <w:t>Voditeljica Odjela financijsko-računovodstvenih poslova</w:t>
            </w:r>
          </w:p>
          <w:p w14:paraId="64203C87" w14:textId="77777777" w:rsidR="00E24ADD" w:rsidRPr="00E24ADD" w:rsidRDefault="00E24ADD" w:rsidP="00E24A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ADD">
              <w:rPr>
                <w:rFonts w:ascii="Times New Roman" w:hAnsi="Times New Roman" w:cs="Times New Roman"/>
                <w:sz w:val="20"/>
                <w:szCs w:val="20"/>
              </w:rPr>
              <w:t>Marina Puljić Brajnović, spec.oec.</w:t>
            </w:r>
          </w:p>
          <w:p w14:paraId="0EE27777" w14:textId="77777777" w:rsidR="00E24ADD" w:rsidRDefault="00E24ADD" w:rsidP="00E24ADD">
            <w:pPr>
              <w:jc w:val="center"/>
              <w:rPr>
                <w:rFonts w:ascii="Times New Roman" w:hAnsi="Times New Roman" w:cs="Times New Roman"/>
              </w:rPr>
            </w:pPr>
          </w:p>
          <w:p w14:paraId="26E91623" w14:textId="77777777" w:rsidR="00E24ADD" w:rsidRDefault="00E24ADD" w:rsidP="00E24ADD">
            <w:pPr>
              <w:jc w:val="center"/>
              <w:rPr>
                <w:rFonts w:ascii="Times New Roman" w:hAnsi="Times New Roman" w:cs="Times New Roman"/>
              </w:rPr>
            </w:pPr>
          </w:p>
          <w:p w14:paraId="28ED40A5" w14:textId="77777777" w:rsidR="00E24ADD" w:rsidRDefault="00E24ADD" w:rsidP="00E24ADD">
            <w:pPr>
              <w:jc w:val="center"/>
              <w:rPr>
                <w:rFonts w:ascii="Times New Roman" w:hAnsi="Times New Roman" w:cs="Times New Roman"/>
              </w:rPr>
            </w:pPr>
          </w:p>
          <w:p w14:paraId="52014BB3" w14:textId="5702FE93" w:rsidR="00E24ADD" w:rsidRDefault="00E24ADD" w:rsidP="00E2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5A58A324" w14:textId="77777777" w:rsidR="00E24ADD" w:rsidRDefault="00E24ADD" w:rsidP="00E2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16C1EAD2" w14:textId="43421CD3" w:rsidR="00E24ADD" w:rsidRDefault="00E24ADD" w:rsidP="00E24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4ADD" w14:paraId="188069C7" w14:textId="77777777" w:rsidTr="00E24ADD">
        <w:tc>
          <w:tcPr>
            <w:tcW w:w="3056" w:type="dxa"/>
            <w:tcBorders>
              <w:top w:val="single" w:sz="4" w:space="0" w:color="auto"/>
            </w:tcBorders>
          </w:tcPr>
          <w:p w14:paraId="2801D9B6" w14:textId="77777777" w:rsidR="00E24ADD" w:rsidRDefault="00E24ADD" w:rsidP="00E2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14:paraId="25ED47C6" w14:textId="77777777" w:rsidR="00E24ADD" w:rsidRDefault="00E24ADD" w:rsidP="00E24A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46541DE" w14:textId="157789C7" w:rsidR="00E24ADD" w:rsidRDefault="00E24ADD" w:rsidP="00E24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Ravnatelj</w:t>
            </w:r>
          </w:p>
          <w:p w14:paraId="12815B7E" w14:textId="5F6A8B02" w:rsidR="00E24ADD" w:rsidRDefault="00E24ADD" w:rsidP="00E24A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Dr.sc. Marko Dizdar</w:t>
            </w:r>
            <w:r w:rsidR="008F1819">
              <w:rPr>
                <w:rFonts w:ascii="Times New Roman" w:hAnsi="Times New Roman" w:cs="Times New Roman"/>
              </w:rPr>
              <w:t>, v.r.</w:t>
            </w:r>
          </w:p>
          <w:p w14:paraId="12787C68" w14:textId="77777777" w:rsidR="00E24ADD" w:rsidRDefault="00E24ADD" w:rsidP="00E24ADD">
            <w:pPr>
              <w:jc w:val="center"/>
              <w:rPr>
                <w:rFonts w:ascii="Times New Roman" w:hAnsi="Times New Roman" w:cs="Times New Roman"/>
              </w:rPr>
            </w:pPr>
          </w:p>
          <w:p w14:paraId="228EB1AA" w14:textId="77777777" w:rsidR="00E24ADD" w:rsidRDefault="00E24ADD" w:rsidP="00E24ADD">
            <w:pPr>
              <w:jc w:val="center"/>
              <w:rPr>
                <w:rFonts w:ascii="Times New Roman" w:hAnsi="Times New Roman" w:cs="Times New Roman"/>
              </w:rPr>
            </w:pPr>
          </w:p>
          <w:p w14:paraId="2DDF0FE2" w14:textId="77777777" w:rsidR="00E24ADD" w:rsidRDefault="00E24ADD" w:rsidP="00E24ADD">
            <w:pPr>
              <w:jc w:val="center"/>
              <w:rPr>
                <w:rFonts w:ascii="Times New Roman" w:hAnsi="Times New Roman" w:cs="Times New Roman"/>
              </w:rPr>
            </w:pPr>
          </w:p>
          <w:p w14:paraId="6A09E418" w14:textId="5742846C" w:rsidR="00E24ADD" w:rsidRDefault="00E24ADD" w:rsidP="00E24AD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B9DC460" w14:textId="77777777" w:rsidR="00E24ADD" w:rsidRPr="00E24ADD" w:rsidRDefault="00E24ADD" w:rsidP="00E24ADD">
      <w:pPr>
        <w:rPr>
          <w:rFonts w:ascii="Times New Roman" w:hAnsi="Times New Roman" w:cs="Times New Roman"/>
        </w:rPr>
      </w:pPr>
    </w:p>
    <w:sectPr w:rsidR="00E24ADD" w:rsidRPr="00E24AD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00926" w14:textId="77777777" w:rsidR="004848C4" w:rsidRDefault="004848C4">
      <w:pPr>
        <w:spacing w:after="0" w:line="240" w:lineRule="auto"/>
      </w:pPr>
      <w:r>
        <w:separator/>
      </w:r>
    </w:p>
  </w:endnote>
  <w:endnote w:type="continuationSeparator" w:id="0">
    <w:p w14:paraId="2EB1C6AA" w14:textId="77777777" w:rsidR="004848C4" w:rsidRDefault="00484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e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515545"/>
      <w:docPartObj>
        <w:docPartGallery w:val="Page Numbers (Bottom of Page)"/>
        <w:docPartUnique/>
      </w:docPartObj>
    </w:sdtPr>
    <w:sdtEndPr/>
    <w:sdtContent>
      <w:p w14:paraId="6BD99B93" w14:textId="77777777" w:rsidR="009D005B" w:rsidRDefault="009E220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469">
          <w:rPr>
            <w:noProof/>
          </w:rPr>
          <w:t>4</w:t>
        </w:r>
        <w:r>
          <w:fldChar w:fldCharType="end"/>
        </w:r>
      </w:p>
    </w:sdtContent>
  </w:sdt>
  <w:p w14:paraId="16324333" w14:textId="77777777" w:rsidR="009D005B" w:rsidRDefault="00484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EB79D" w14:textId="77777777" w:rsidR="004848C4" w:rsidRDefault="004848C4">
      <w:pPr>
        <w:spacing w:after="0" w:line="240" w:lineRule="auto"/>
      </w:pPr>
      <w:r>
        <w:separator/>
      </w:r>
    </w:p>
  </w:footnote>
  <w:footnote w:type="continuationSeparator" w:id="0">
    <w:p w14:paraId="4030707F" w14:textId="77777777" w:rsidR="004848C4" w:rsidRDefault="00484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9F9"/>
    <w:multiLevelType w:val="hybridMultilevel"/>
    <w:tmpl w:val="D48C7AF8"/>
    <w:lvl w:ilvl="0" w:tplc="041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841E07"/>
    <w:multiLevelType w:val="hybridMultilevel"/>
    <w:tmpl w:val="632E4766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618711D"/>
    <w:multiLevelType w:val="hybridMultilevel"/>
    <w:tmpl w:val="A7D072A0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63D0B3D"/>
    <w:multiLevelType w:val="hybridMultilevel"/>
    <w:tmpl w:val="9C249B2A"/>
    <w:lvl w:ilvl="0" w:tplc="C5B0683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CE04C2"/>
    <w:multiLevelType w:val="hybridMultilevel"/>
    <w:tmpl w:val="5FE4275C"/>
    <w:lvl w:ilvl="0" w:tplc="CA8AA484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FD0774"/>
    <w:multiLevelType w:val="hybridMultilevel"/>
    <w:tmpl w:val="3E6043D4"/>
    <w:lvl w:ilvl="0" w:tplc="040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169D2"/>
    <w:multiLevelType w:val="hybridMultilevel"/>
    <w:tmpl w:val="B6F6A8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857F5"/>
    <w:multiLevelType w:val="hybridMultilevel"/>
    <w:tmpl w:val="1E5AB12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7520CB"/>
    <w:multiLevelType w:val="hybridMultilevel"/>
    <w:tmpl w:val="4E929CE6"/>
    <w:lvl w:ilvl="0" w:tplc="C94634E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06BBB"/>
    <w:multiLevelType w:val="hybridMultilevel"/>
    <w:tmpl w:val="5E66F048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8964E1"/>
    <w:multiLevelType w:val="hybridMultilevel"/>
    <w:tmpl w:val="A976C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FE1F4E"/>
    <w:multiLevelType w:val="hybridMultilevel"/>
    <w:tmpl w:val="3AFA1B24"/>
    <w:lvl w:ilvl="0" w:tplc="BB9CC966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291BC9"/>
    <w:multiLevelType w:val="hybridMultilevel"/>
    <w:tmpl w:val="49F81556"/>
    <w:lvl w:ilvl="0" w:tplc="C94634E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E752BB"/>
    <w:multiLevelType w:val="hybridMultilevel"/>
    <w:tmpl w:val="174E5708"/>
    <w:lvl w:ilvl="0" w:tplc="9C864BA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2207E4"/>
    <w:multiLevelType w:val="hybridMultilevel"/>
    <w:tmpl w:val="6860940A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4022A"/>
    <w:multiLevelType w:val="hybridMultilevel"/>
    <w:tmpl w:val="8318A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0"/>
  </w:num>
  <w:num w:numId="3">
    <w:abstractNumId w:val="8"/>
  </w:num>
  <w:num w:numId="4">
    <w:abstractNumId w:val="15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9"/>
  </w:num>
  <w:num w:numId="10">
    <w:abstractNumId w:val="10"/>
  </w:num>
  <w:num w:numId="11">
    <w:abstractNumId w:val="3"/>
  </w:num>
  <w:num w:numId="12">
    <w:abstractNumId w:val="12"/>
  </w:num>
  <w:num w:numId="13">
    <w:abstractNumId w:val="7"/>
  </w:num>
  <w:num w:numId="14">
    <w:abstractNumId w:val="21"/>
  </w:num>
  <w:num w:numId="15">
    <w:abstractNumId w:val="14"/>
  </w:num>
  <w:num w:numId="16">
    <w:abstractNumId w:val="9"/>
  </w:num>
  <w:num w:numId="17">
    <w:abstractNumId w:val="2"/>
  </w:num>
  <w:num w:numId="18">
    <w:abstractNumId w:val="17"/>
  </w:num>
  <w:num w:numId="19">
    <w:abstractNumId w:val="1"/>
  </w:num>
  <w:num w:numId="20">
    <w:abstractNumId w:val="18"/>
  </w:num>
  <w:num w:numId="21">
    <w:abstractNumId w:val="11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13D25"/>
    <w:rsid w:val="00030327"/>
    <w:rsid w:val="00036F2E"/>
    <w:rsid w:val="0004158E"/>
    <w:rsid w:val="000C2D26"/>
    <w:rsid w:val="00144BA1"/>
    <w:rsid w:val="001846D3"/>
    <w:rsid w:val="001A3805"/>
    <w:rsid w:val="001B0F7A"/>
    <w:rsid w:val="001B3688"/>
    <w:rsid w:val="001C1B54"/>
    <w:rsid w:val="002036EC"/>
    <w:rsid w:val="00220BF7"/>
    <w:rsid w:val="00227D81"/>
    <w:rsid w:val="00232EA0"/>
    <w:rsid w:val="002377CE"/>
    <w:rsid w:val="00257B71"/>
    <w:rsid w:val="00267AE8"/>
    <w:rsid w:val="002A00A4"/>
    <w:rsid w:val="002B5B7E"/>
    <w:rsid w:val="002C7121"/>
    <w:rsid w:val="002D444E"/>
    <w:rsid w:val="00310647"/>
    <w:rsid w:val="0031347B"/>
    <w:rsid w:val="00321B0C"/>
    <w:rsid w:val="003239CD"/>
    <w:rsid w:val="00324025"/>
    <w:rsid w:val="0035060A"/>
    <w:rsid w:val="003565EF"/>
    <w:rsid w:val="00361129"/>
    <w:rsid w:val="003751B7"/>
    <w:rsid w:val="003B2CF0"/>
    <w:rsid w:val="003B6FD3"/>
    <w:rsid w:val="003C6A42"/>
    <w:rsid w:val="0040392F"/>
    <w:rsid w:val="00433EE9"/>
    <w:rsid w:val="004411E2"/>
    <w:rsid w:val="00444B9D"/>
    <w:rsid w:val="00447747"/>
    <w:rsid w:val="00474EAA"/>
    <w:rsid w:val="0048421F"/>
    <w:rsid w:val="004848C4"/>
    <w:rsid w:val="0049422D"/>
    <w:rsid w:val="004A0AAC"/>
    <w:rsid w:val="004B6112"/>
    <w:rsid w:val="004C3A59"/>
    <w:rsid w:val="004C4C65"/>
    <w:rsid w:val="004E02C5"/>
    <w:rsid w:val="0055498A"/>
    <w:rsid w:val="00580469"/>
    <w:rsid w:val="00585281"/>
    <w:rsid w:val="00616005"/>
    <w:rsid w:val="00620076"/>
    <w:rsid w:val="00665DAB"/>
    <w:rsid w:val="00683154"/>
    <w:rsid w:val="006925CE"/>
    <w:rsid w:val="006E26A3"/>
    <w:rsid w:val="0070105D"/>
    <w:rsid w:val="00703212"/>
    <w:rsid w:val="007111E5"/>
    <w:rsid w:val="00750EF8"/>
    <w:rsid w:val="00774A0F"/>
    <w:rsid w:val="007806D6"/>
    <w:rsid w:val="007B0CD8"/>
    <w:rsid w:val="007B33DC"/>
    <w:rsid w:val="007D64C4"/>
    <w:rsid w:val="007E789B"/>
    <w:rsid w:val="007F547C"/>
    <w:rsid w:val="008223B8"/>
    <w:rsid w:val="008242A3"/>
    <w:rsid w:val="0084027D"/>
    <w:rsid w:val="00846E65"/>
    <w:rsid w:val="008722C3"/>
    <w:rsid w:val="008750BD"/>
    <w:rsid w:val="00890280"/>
    <w:rsid w:val="008A2DA1"/>
    <w:rsid w:val="008C38EF"/>
    <w:rsid w:val="008C5E22"/>
    <w:rsid w:val="008F1819"/>
    <w:rsid w:val="008F4E7F"/>
    <w:rsid w:val="009017B5"/>
    <w:rsid w:val="00927453"/>
    <w:rsid w:val="00935A1C"/>
    <w:rsid w:val="009A65A8"/>
    <w:rsid w:val="009C4C88"/>
    <w:rsid w:val="009E089E"/>
    <w:rsid w:val="009E1B17"/>
    <w:rsid w:val="009E2203"/>
    <w:rsid w:val="009F236F"/>
    <w:rsid w:val="00A1515A"/>
    <w:rsid w:val="00A151FC"/>
    <w:rsid w:val="00A32F1F"/>
    <w:rsid w:val="00A43C0D"/>
    <w:rsid w:val="00A44D60"/>
    <w:rsid w:val="00A4672A"/>
    <w:rsid w:val="00A46CB2"/>
    <w:rsid w:val="00A47F61"/>
    <w:rsid w:val="00A8292A"/>
    <w:rsid w:val="00A93657"/>
    <w:rsid w:val="00AC491F"/>
    <w:rsid w:val="00AC704E"/>
    <w:rsid w:val="00AD4E6F"/>
    <w:rsid w:val="00AD5EEC"/>
    <w:rsid w:val="00AE7569"/>
    <w:rsid w:val="00AF6736"/>
    <w:rsid w:val="00B44A33"/>
    <w:rsid w:val="00B5476D"/>
    <w:rsid w:val="00B7598C"/>
    <w:rsid w:val="00B814C0"/>
    <w:rsid w:val="00BB300B"/>
    <w:rsid w:val="00BB47B9"/>
    <w:rsid w:val="00BD7FDD"/>
    <w:rsid w:val="00BE741E"/>
    <w:rsid w:val="00C03C88"/>
    <w:rsid w:val="00C41919"/>
    <w:rsid w:val="00C84559"/>
    <w:rsid w:val="00CA7282"/>
    <w:rsid w:val="00CB764D"/>
    <w:rsid w:val="00CD6C39"/>
    <w:rsid w:val="00CF2D52"/>
    <w:rsid w:val="00D239A6"/>
    <w:rsid w:val="00D375DC"/>
    <w:rsid w:val="00D5408D"/>
    <w:rsid w:val="00D70144"/>
    <w:rsid w:val="00D83E6B"/>
    <w:rsid w:val="00D95563"/>
    <w:rsid w:val="00DA6D43"/>
    <w:rsid w:val="00DA7AFE"/>
    <w:rsid w:val="00DB7DE4"/>
    <w:rsid w:val="00DC0CE6"/>
    <w:rsid w:val="00DC5B33"/>
    <w:rsid w:val="00DC5C93"/>
    <w:rsid w:val="00DD7B8C"/>
    <w:rsid w:val="00E15B99"/>
    <w:rsid w:val="00E16FD6"/>
    <w:rsid w:val="00E22787"/>
    <w:rsid w:val="00E24ADD"/>
    <w:rsid w:val="00E66295"/>
    <w:rsid w:val="00E72571"/>
    <w:rsid w:val="00EC511B"/>
    <w:rsid w:val="00EE36F7"/>
    <w:rsid w:val="00EF05CF"/>
    <w:rsid w:val="00EF0A99"/>
    <w:rsid w:val="00F12286"/>
    <w:rsid w:val="00F356E0"/>
    <w:rsid w:val="00F4042F"/>
    <w:rsid w:val="00F41136"/>
    <w:rsid w:val="00F566E5"/>
    <w:rsid w:val="00F61689"/>
    <w:rsid w:val="00F6593E"/>
    <w:rsid w:val="00F76558"/>
    <w:rsid w:val="00F815A6"/>
    <w:rsid w:val="00FB7219"/>
    <w:rsid w:val="00FD6A06"/>
    <w:rsid w:val="00FE3197"/>
    <w:rsid w:val="00FF0469"/>
    <w:rsid w:val="00FF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B7BAB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5C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39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5CF"/>
  </w:style>
  <w:style w:type="table" w:styleId="TableGrid">
    <w:name w:val="Table Grid"/>
    <w:basedOn w:val="TableNormal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point,List Paragraph1"/>
    <w:basedOn w:val="Normal"/>
    <w:link w:val="ListParagraphChar"/>
    <w:uiPriority w:val="34"/>
    <w:qFormat/>
    <w:rsid w:val="00EF05CF"/>
    <w:pPr>
      <w:ind w:left="720"/>
      <w:contextualSpacing/>
    </w:pPr>
  </w:style>
  <w:style w:type="character" w:customStyle="1" w:styleId="BodyTextChar">
    <w:name w:val="Body Text Char"/>
    <w:aliases w:val="uvlaka 3 Char,uvlaka 2 Char"/>
    <w:basedOn w:val="DefaultParagraphFont"/>
    <w:link w:val="BodyText"/>
    <w:semiHidden/>
    <w:locked/>
    <w:rsid w:val="00FF45DD"/>
    <w:rPr>
      <w:rFonts w:ascii="Welt" w:eastAsia="Times New Roman" w:hAnsi="Welt" w:cs="Times New Roman"/>
      <w:sz w:val="24"/>
      <w:szCs w:val="24"/>
    </w:rPr>
  </w:style>
  <w:style w:type="paragraph" w:styleId="BodyText">
    <w:name w:val="Body Text"/>
    <w:aliases w:val="uvlaka 3,uvlaka 2"/>
    <w:basedOn w:val="Normal"/>
    <w:link w:val="BodyTextChar"/>
    <w:semiHidden/>
    <w:unhideWhenUsed/>
    <w:rsid w:val="00FF45DD"/>
    <w:pPr>
      <w:spacing w:before="60" w:after="0" w:line="240" w:lineRule="auto"/>
      <w:ind w:firstLine="284"/>
    </w:pPr>
    <w:rPr>
      <w:rFonts w:ascii="Welt" w:eastAsia="Times New Roman" w:hAnsi="Welt" w:cs="Times New Roman"/>
      <w:sz w:val="24"/>
      <w:szCs w:val="24"/>
    </w:rPr>
  </w:style>
  <w:style w:type="character" w:customStyle="1" w:styleId="BodyTextChar1">
    <w:name w:val="Body Text Char1"/>
    <w:basedOn w:val="DefaultParagraphFont"/>
    <w:uiPriority w:val="99"/>
    <w:semiHidden/>
    <w:rsid w:val="00FF45DD"/>
  </w:style>
  <w:style w:type="paragraph" w:styleId="NormalWeb">
    <w:name w:val="Normal (Web)"/>
    <w:basedOn w:val="Normal"/>
    <w:uiPriority w:val="99"/>
    <w:unhideWhenUsed/>
    <w:rsid w:val="00FF45DD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FF45DD"/>
    <w:rPr>
      <w:i/>
      <w:iCs/>
    </w:rPr>
  </w:style>
  <w:style w:type="character" w:customStyle="1" w:styleId="ListParagraphChar">
    <w:name w:val="List Paragraph Char"/>
    <w:aliases w:val="Bullet point Char,List Paragraph1 Char"/>
    <w:link w:val="ListParagraph"/>
    <w:uiPriority w:val="34"/>
    <w:locked/>
    <w:rsid w:val="0040392F"/>
  </w:style>
  <w:style w:type="character" w:customStyle="1" w:styleId="Heading2Char">
    <w:name w:val="Heading 2 Char"/>
    <w:basedOn w:val="DefaultParagraphFont"/>
    <w:link w:val="Heading2"/>
    <w:uiPriority w:val="9"/>
    <w:rsid w:val="004039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0392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40392F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039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9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92F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0392F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0392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0392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0392F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C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1643</Words>
  <Characters>9368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racunovodstvo</cp:lastModifiedBy>
  <cp:revision>61</cp:revision>
  <cp:lastPrinted>2025-10-29T10:09:00Z</cp:lastPrinted>
  <dcterms:created xsi:type="dcterms:W3CDTF">2024-11-08T01:40:00Z</dcterms:created>
  <dcterms:modified xsi:type="dcterms:W3CDTF">2025-10-29T10:09:00Z</dcterms:modified>
</cp:coreProperties>
</file>